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79B31" w14:textId="2F1D3EBA" w:rsidR="008060B6" w:rsidRDefault="005E2E24">
      <w:pPr>
        <w:spacing w:after="178" w:line="259" w:lineRule="auto"/>
        <w:ind w:left="44" w:right="0" w:firstLine="0"/>
        <w:jc w:val="center"/>
      </w:pPr>
      <w:proofErr w:type="spellStart"/>
      <w:r>
        <w:rPr>
          <w:b/>
        </w:rPr>
        <w:t>Crux</w:t>
      </w:r>
      <w:proofErr w:type="spellEnd"/>
      <w:r w:rsidR="00074200">
        <w:rPr>
          <w:b/>
        </w:rPr>
        <w:t xml:space="preserve"> Tőkealap-kezelő </w:t>
      </w:r>
      <w:proofErr w:type="spellStart"/>
      <w:r w:rsidR="00074200">
        <w:rPr>
          <w:b/>
        </w:rPr>
        <w:t>Zrt</w:t>
      </w:r>
      <w:proofErr w:type="spellEnd"/>
      <w:r w:rsidR="00074200">
        <w:rPr>
          <w:b/>
        </w:rPr>
        <w:t xml:space="preserve">. </w:t>
      </w:r>
    </w:p>
    <w:p w14:paraId="6EC95BD9" w14:textId="5E9E07BE" w:rsidR="008060B6" w:rsidRDefault="002D6942">
      <w:pPr>
        <w:spacing w:after="14" w:line="452" w:lineRule="auto"/>
        <w:ind w:left="3452" w:right="2037" w:hanging="65"/>
        <w:jc w:val="left"/>
      </w:pPr>
      <w:r>
        <w:rPr>
          <w:b/>
        </w:rPr>
        <w:t xml:space="preserve">Adatkezelési Tájékoztató </w:t>
      </w:r>
      <w:r>
        <w:rPr>
          <w:i/>
        </w:rPr>
        <w:t xml:space="preserve">felülvizsgálva: </w:t>
      </w:r>
      <w:r w:rsidR="005E2E24">
        <w:rPr>
          <w:i/>
        </w:rPr>
        <w:t>2026.05.20.</w:t>
      </w:r>
      <w:r>
        <w:rPr>
          <w:i/>
        </w:rPr>
        <w:t xml:space="preserve"> </w:t>
      </w:r>
    </w:p>
    <w:p w14:paraId="3DD584C0" w14:textId="77777777" w:rsidR="008060B6" w:rsidRDefault="002D6942">
      <w:pPr>
        <w:spacing w:after="0" w:line="259" w:lineRule="auto"/>
        <w:ind w:left="0" w:right="0" w:firstLine="0"/>
        <w:jc w:val="left"/>
      </w:pPr>
      <w:r>
        <w:rPr>
          <w:b/>
          <w:sz w:val="27"/>
        </w:rPr>
        <w:t xml:space="preserve"> </w:t>
      </w:r>
    </w:p>
    <w:p w14:paraId="43528966" w14:textId="77777777" w:rsidR="008060B6" w:rsidRDefault="002D6942">
      <w:pPr>
        <w:tabs>
          <w:tab w:val="center" w:pos="1326"/>
        </w:tabs>
        <w:spacing w:after="116" w:line="248" w:lineRule="auto"/>
        <w:ind w:left="0" w:right="0" w:firstLine="0"/>
        <w:jc w:val="left"/>
      </w:pPr>
      <w:r>
        <w:rPr>
          <w:b/>
        </w:rPr>
        <w:t>1</w:t>
      </w:r>
      <w:r>
        <w:rPr>
          <w:rFonts w:ascii="Arial" w:eastAsia="Arial" w:hAnsi="Arial" w:cs="Arial"/>
          <w:b/>
        </w:rPr>
        <w:t xml:space="preserve"> </w:t>
      </w:r>
      <w:r>
        <w:rPr>
          <w:rFonts w:ascii="Arial" w:eastAsia="Arial" w:hAnsi="Arial" w:cs="Arial"/>
          <w:b/>
        </w:rPr>
        <w:tab/>
      </w:r>
      <w:r>
        <w:rPr>
          <w:b/>
        </w:rPr>
        <w:t xml:space="preserve">Preambulum </w:t>
      </w:r>
    </w:p>
    <w:p w14:paraId="506DEB1D" w14:textId="49C936E3" w:rsidR="008060B6" w:rsidRDefault="002D6942">
      <w:pPr>
        <w:ind w:left="715" w:right="107"/>
      </w:pPr>
      <w:r>
        <w:t xml:space="preserve">A </w:t>
      </w:r>
      <w:proofErr w:type="spellStart"/>
      <w:r w:rsidR="005E2E24">
        <w:t>Crux</w:t>
      </w:r>
      <w:proofErr w:type="spellEnd"/>
      <w:r>
        <w:t xml:space="preserve"> Tőkealap-kezelő </w:t>
      </w:r>
      <w:proofErr w:type="spellStart"/>
      <w:r>
        <w:t>Zrt</w:t>
      </w:r>
      <w:proofErr w:type="spellEnd"/>
      <w:r>
        <w:t>. (a továbbiakban az „</w:t>
      </w:r>
      <w:r>
        <w:rPr>
          <w:b/>
        </w:rPr>
        <w:t>Adatkezelő</w:t>
      </w:r>
      <w:r>
        <w:t xml:space="preserve">”) mint adatkezelő, </w:t>
      </w:r>
      <w:proofErr w:type="spellStart"/>
      <w:r w:rsidR="005E2E24">
        <w:t>mondenkor</w:t>
      </w:r>
      <w:proofErr w:type="spellEnd"/>
      <w:r w:rsidR="005E2E24">
        <w:t xml:space="preserve"> biztosítja az általa kezelt személyes adatok </w:t>
      </w:r>
      <w:r w:rsidR="005C398E">
        <w:t xml:space="preserve">kezelésének jogszerűségét és célszerűségét, </w:t>
      </w:r>
      <w:r>
        <w:t>magára nézve kötelezőnek ismeri el jelen Adatkezelési Tájékoztató tartalmát és kötelezettséget vállal arra, hogy a tevékenységével kapcsolatos minden</w:t>
      </w:r>
      <w:r w:rsidR="005E2E24">
        <w:t xml:space="preserve"> személyes</w:t>
      </w:r>
      <w:r>
        <w:t xml:space="preserve"> </w:t>
      </w:r>
      <w:r w:rsidR="005E2E24">
        <w:t>a</w:t>
      </w:r>
      <w:r>
        <w:t>datkezelés</w:t>
      </w:r>
      <w:r w:rsidR="005E2E24">
        <w:t xml:space="preserve"> („Adatkezelés”)</w:t>
      </w:r>
      <w:r>
        <w:t xml:space="preserve"> megfelel a jelen tájékoztatóban és az irányadó, hatályos jogszabályokban meghatározott elvárásoknak. Az Adatkezelő adatait és elérhetőségeit a 2. pont tartalmazza. </w:t>
      </w:r>
    </w:p>
    <w:p w14:paraId="23E1A84E" w14:textId="6BBF85FA" w:rsidR="008060B6" w:rsidRPr="0009221E" w:rsidRDefault="002D6942" w:rsidP="0009221E">
      <w:pPr>
        <w:rPr>
          <w:rFonts w:ascii="Aptos" w:eastAsiaTheme="minorHAnsi" w:hAnsi="Aptos" w:cs="Times New Roman"/>
          <w:color w:val="auto"/>
          <w:sz w:val="24"/>
        </w:rPr>
      </w:pPr>
      <w:r>
        <w:t xml:space="preserve">A jelen Adatkezelési Tájékoztató, valamint az Adatkezelő adatkezeléseihez kapcsolódó egyéb </w:t>
      </w:r>
      <w:proofErr w:type="gramStart"/>
      <w:r>
        <w:t>információk</w:t>
      </w:r>
      <w:proofErr w:type="gramEnd"/>
      <w:r>
        <w:t xml:space="preserve"> elérhetőek a </w:t>
      </w:r>
      <w:r w:rsidR="005E2E24">
        <w:t>www.cruxventures.hu</w:t>
      </w:r>
      <w:r>
        <w:t xml:space="preserve"> </w:t>
      </w:r>
      <w:r w:rsidR="005E2E24">
        <w:t>honlapon</w:t>
      </w:r>
      <w:r>
        <w:t>. Az adatvéde</w:t>
      </w:r>
      <w:r w:rsidR="00074200">
        <w:t>lmi felelős e-mail elérhetősége:</w:t>
      </w:r>
      <w:r w:rsidR="0009221E">
        <w:rPr>
          <w:rFonts w:ascii="Aptos" w:eastAsiaTheme="minorHAnsi" w:hAnsi="Aptos" w:cs="Times New Roman"/>
          <w:color w:val="auto"/>
          <w:sz w:val="24"/>
        </w:rPr>
        <w:t xml:space="preserve"> </w:t>
      </w:r>
      <w:hyperlink r:id="rId7" w:history="1">
        <w:r w:rsidR="0009221E">
          <w:rPr>
            <w:rStyle w:val="Hiperhivatkozs"/>
            <w:rFonts w:ascii="Calibri" w:hAnsi="Calibri" w:cs="Calibri"/>
            <w:sz w:val="22"/>
            <w:szCs w:val="22"/>
          </w:rPr>
          <w:t>info@cruxventures.hu</w:t>
        </w:r>
      </w:hyperlink>
      <w:r>
        <w:t xml:space="preserve"> </w:t>
      </w:r>
    </w:p>
    <w:p w14:paraId="230279FA" w14:textId="77777777" w:rsidR="008060B6" w:rsidRDefault="002D6942">
      <w:pPr>
        <w:ind w:left="715" w:right="107"/>
      </w:pPr>
      <w:r>
        <w:t xml:space="preserve">Az Adatkezelő a jelen Adatkezelési Tájékoztató bármikor történő megváltoztatásának jogát fenntartja. A jelen Adatkezelési Tájékoztató megváltozása esetén az Adatkezelő ésszerű időn belül értesíti az Érintetteket, valamint a módosított Adatkezelési Tájékoztatót honlapján közzéteszi. </w:t>
      </w:r>
    </w:p>
    <w:p w14:paraId="310E23CB" w14:textId="3077E81E" w:rsidR="008060B6" w:rsidRDefault="002D6942">
      <w:pPr>
        <w:ind w:left="715" w:right="107"/>
      </w:pPr>
      <w:r>
        <w:t xml:space="preserve">Amennyiben Önnek Személyes Adatai kezelésével kapcsolatosan kérdése merül fel, a 4. </w:t>
      </w:r>
      <w:r w:rsidR="005C398E">
        <w:t>p</w:t>
      </w:r>
      <w:r>
        <w:t xml:space="preserve">ontban foglalt elérhetőségeink bármelyikén eljuttatott megkeresésére </w:t>
      </w:r>
      <w:r w:rsidR="00D62F2A">
        <w:t xml:space="preserve">az 5.3.2. pontban </w:t>
      </w:r>
      <w:proofErr w:type="gramStart"/>
      <w:r w:rsidR="00D62F2A">
        <w:t>foglalt</w:t>
      </w:r>
      <w:proofErr w:type="gramEnd"/>
      <w:r w:rsidR="00D62F2A">
        <w:t xml:space="preserve">, egyhónapos határidőn </w:t>
      </w:r>
      <w:r>
        <w:t xml:space="preserve">belül válaszolunk. </w:t>
      </w:r>
    </w:p>
    <w:p w14:paraId="067FF087" w14:textId="77777777" w:rsidR="008060B6" w:rsidRDefault="002D6942">
      <w:pPr>
        <w:ind w:left="715" w:right="107"/>
      </w:pPr>
      <w:r>
        <w:t xml:space="preserve">Az Adatkezelő elkötelezett ügyfelei és partnerei Személyes Adatainak védelmében, kiemelten fontosnak tartja ügyfelei </w:t>
      </w:r>
      <w:proofErr w:type="gramStart"/>
      <w:r>
        <w:t>információs</w:t>
      </w:r>
      <w:proofErr w:type="gramEnd"/>
      <w:r>
        <w:t xml:space="preserve"> önrendelkezési jogának tiszteletben tartását. </w:t>
      </w:r>
    </w:p>
    <w:p w14:paraId="753B0CFC" w14:textId="77777777" w:rsidR="008060B6" w:rsidRDefault="002D6942">
      <w:pPr>
        <w:ind w:left="715" w:right="107"/>
      </w:pPr>
      <w:r>
        <w:t xml:space="preserve">Az Adatkezelő a Személyes Adatokat bizalmasan kezeli, és megtesz minden olyan biztonsági, technikai és szervezési intézkedést, mely a Személyes Adatok biztonságát </w:t>
      </w:r>
      <w:proofErr w:type="gramStart"/>
      <w:r>
        <w:t>garantálja</w:t>
      </w:r>
      <w:proofErr w:type="gramEnd"/>
      <w:r>
        <w:t xml:space="preserve">. </w:t>
      </w:r>
    </w:p>
    <w:p w14:paraId="756E043F" w14:textId="77777777" w:rsidR="008060B6" w:rsidRDefault="002D6942">
      <w:pPr>
        <w:spacing w:after="9"/>
        <w:ind w:left="715" w:right="107"/>
      </w:pPr>
      <w:r>
        <w:t xml:space="preserve">A Személyes Adatok kezelésére vonatkozó elveket az alábbiakban mutatjuk be, ideértve az </w:t>
      </w:r>
    </w:p>
    <w:p w14:paraId="18A5E9E3" w14:textId="0310A17E" w:rsidR="008060B6" w:rsidRDefault="002D6942">
      <w:pPr>
        <w:ind w:left="715" w:right="107"/>
      </w:pPr>
      <w:r>
        <w:t xml:space="preserve">Adatkezelővel szemben fennálló jogszabályi követelményeket, valamint az Ön Személyes Adatai kezelésével kapcsolatos jogosultságait. </w:t>
      </w:r>
    </w:p>
    <w:p w14:paraId="300A6CD4" w14:textId="77777777" w:rsidR="008060B6" w:rsidRDefault="002D6942">
      <w:pPr>
        <w:ind w:left="715" w:right="107"/>
      </w:pPr>
      <w:r>
        <w:t xml:space="preserve">Az Adatkezelő adatkezelési alapelvei összhangban vannak az adatvédelemmel kapcsolatos hatályos jogszabályokkal, így különösen az alábbiakkal: </w:t>
      </w:r>
    </w:p>
    <w:p w14:paraId="1AFDBFCF" w14:textId="77777777" w:rsidR="008060B6" w:rsidRDefault="002D6942">
      <w:pPr>
        <w:numPr>
          <w:ilvl w:val="0"/>
          <w:numId w:val="1"/>
        </w:numPr>
        <w:ind w:right="107" w:hanging="392"/>
      </w:pPr>
      <w:r>
        <w:t xml:space="preserve">az </w:t>
      </w:r>
      <w:proofErr w:type="gramStart"/>
      <w:r>
        <w:t>információs</w:t>
      </w:r>
      <w:proofErr w:type="gramEnd"/>
      <w:r>
        <w:t xml:space="preserve"> önrendelkezési jogról és az információ-szabadságról szóló 2011. évi CXII. törvény (az „</w:t>
      </w:r>
      <w:proofErr w:type="spellStart"/>
      <w:r>
        <w:t>Infotv</w:t>
      </w:r>
      <w:proofErr w:type="spellEnd"/>
      <w:r>
        <w:t xml:space="preserve">.”); </w:t>
      </w:r>
    </w:p>
    <w:p w14:paraId="13B423EC" w14:textId="77777777" w:rsidR="008060B6" w:rsidRDefault="002D6942">
      <w:pPr>
        <w:numPr>
          <w:ilvl w:val="0"/>
          <w:numId w:val="1"/>
        </w:numPr>
        <w:ind w:right="107" w:hanging="392"/>
      </w:pPr>
      <w:r>
        <w:t xml:space="preserve">a természetes személyeknek a személyes adatok kezelése tekintetében történő védelméről és az ilyen adatok szabad áramlásáról, valamint a 95/46/EK rendelet hatályon kívül helyezéséről szóló Európai Parlament és a Tanács (EU) 2016/679 rendelete (2016. április 27.) (a „Rendelet”); </w:t>
      </w:r>
    </w:p>
    <w:p w14:paraId="00D2BF4C" w14:textId="77777777" w:rsidR="008060B6" w:rsidRDefault="002D6942">
      <w:pPr>
        <w:numPr>
          <w:ilvl w:val="0"/>
          <w:numId w:val="1"/>
        </w:numPr>
        <w:ind w:right="107" w:hanging="392"/>
      </w:pPr>
      <w:r>
        <w:t xml:space="preserve">a Polgári Törvénykönyvről szóló 2013. évi V. törvény (a „Ptk.”); </w:t>
      </w:r>
    </w:p>
    <w:p w14:paraId="300180AE" w14:textId="77777777" w:rsidR="008060B6" w:rsidRDefault="002D6942">
      <w:pPr>
        <w:numPr>
          <w:ilvl w:val="0"/>
          <w:numId w:val="1"/>
        </w:numPr>
        <w:ind w:right="107" w:hanging="392"/>
      </w:pPr>
      <w:r>
        <w:t xml:space="preserve">a számvitelről szóló 2000. évi C. törvény (a „Számviteli tv.”); </w:t>
      </w:r>
    </w:p>
    <w:p w14:paraId="44B26449" w14:textId="77777777" w:rsidR="008060B6" w:rsidRDefault="002D6942">
      <w:pPr>
        <w:numPr>
          <w:ilvl w:val="0"/>
          <w:numId w:val="1"/>
        </w:numPr>
        <w:ind w:right="107" w:hanging="392"/>
      </w:pPr>
      <w:r>
        <w:t xml:space="preserve">a pénzmosás és terrorizmus </w:t>
      </w:r>
      <w:proofErr w:type="gramStart"/>
      <w:r>
        <w:t>finanszírozása</w:t>
      </w:r>
      <w:proofErr w:type="gramEnd"/>
      <w:r>
        <w:t xml:space="preserve"> megelőzéséről és megakadályozásáról szóló 2017. évi LIII. törvény (a „</w:t>
      </w:r>
      <w:proofErr w:type="spellStart"/>
      <w:r>
        <w:t>Pmt</w:t>
      </w:r>
      <w:proofErr w:type="spellEnd"/>
      <w:r>
        <w:t xml:space="preserve">.”); </w:t>
      </w:r>
    </w:p>
    <w:p w14:paraId="0ABE1808" w14:textId="77777777" w:rsidR="008060B6" w:rsidRDefault="002D6942">
      <w:pPr>
        <w:numPr>
          <w:ilvl w:val="0"/>
          <w:numId w:val="1"/>
        </w:numPr>
        <w:spacing w:after="0"/>
        <w:ind w:right="107" w:hanging="392"/>
      </w:pPr>
      <w:r>
        <w:t xml:space="preserve">a </w:t>
      </w:r>
      <w:proofErr w:type="gramStart"/>
      <w:r>
        <w:t>kollektív</w:t>
      </w:r>
      <w:proofErr w:type="gramEnd"/>
      <w:r>
        <w:t xml:space="preserve"> befektetési formákról és kezelőikről, valamint egyes pénzügyi tárgyú törvények módosításáról szóló 2014. évi XVI. törvény (a „</w:t>
      </w:r>
      <w:proofErr w:type="spellStart"/>
      <w:r>
        <w:t>Kbftv</w:t>
      </w:r>
      <w:proofErr w:type="spellEnd"/>
      <w:r>
        <w:t xml:space="preserve">.”). </w:t>
      </w:r>
      <w:r>
        <w:rPr>
          <w:sz w:val="22"/>
        </w:rPr>
        <w:t xml:space="preserve"> </w:t>
      </w:r>
    </w:p>
    <w:p w14:paraId="39AC9C0F" w14:textId="77777777" w:rsidR="008060B6" w:rsidRDefault="002D6942">
      <w:pPr>
        <w:spacing w:after="0" w:line="259" w:lineRule="auto"/>
        <w:ind w:left="0" w:right="0" w:firstLine="0"/>
        <w:jc w:val="left"/>
      </w:pPr>
      <w:r>
        <w:rPr>
          <w:sz w:val="20"/>
        </w:rPr>
        <w:t xml:space="preserve"> </w:t>
      </w:r>
    </w:p>
    <w:p w14:paraId="2DEBCB49" w14:textId="77777777" w:rsidR="008060B6" w:rsidRDefault="002D6942">
      <w:pPr>
        <w:numPr>
          <w:ilvl w:val="0"/>
          <w:numId w:val="2"/>
        </w:numPr>
        <w:spacing w:after="116" w:line="248" w:lineRule="auto"/>
        <w:ind w:right="100" w:hanging="567"/>
      </w:pPr>
      <w:r>
        <w:rPr>
          <w:b/>
        </w:rPr>
        <w:t xml:space="preserve">Az Adatkezelő adatai </w:t>
      </w:r>
    </w:p>
    <w:p w14:paraId="49E26F35" w14:textId="3010030A" w:rsidR="008060B6" w:rsidRDefault="002D6942">
      <w:pPr>
        <w:ind w:left="715" w:right="107"/>
      </w:pPr>
      <w:r>
        <w:t xml:space="preserve">Név: </w:t>
      </w:r>
      <w:proofErr w:type="spellStart"/>
      <w:r w:rsidR="005C398E">
        <w:t>Crux</w:t>
      </w:r>
      <w:proofErr w:type="spellEnd"/>
      <w:r>
        <w:t xml:space="preserve"> Tőkealap-kezelő </w:t>
      </w:r>
      <w:proofErr w:type="spellStart"/>
      <w:r>
        <w:t>Zrt</w:t>
      </w:r>
      <w:proofErr w:type="spellEnd"/>
      <w:r>
        <w:t xml:space="preserve">. </w:t>
      </w:r>
    </w:p>
    <w:p w14:paraId="0ED12D3B" w14:textId="5BD64052" w:rsidR="008060B6" w:rsidRDefault="002D6942">
      <w:pPr>
        <w:ind w:left="715" w:right="107"/>
      </w:pPr>
      <w:r>
        <w:t xml:space="preserve">Székhely: </w:t>
      </w:r>
      <w:r w:rsidR="005C398E" w:rsidRPr="005C398E">
        <w:t>1123 Budapest, Nagyenyed u. 8-10.</w:t>
      </w:r>
    </w:p>
    <w:p w14:paraId="09C0F645" w14:textId="77777777" w:rsidR="008060B6" w:rsidRDefault="002D6942">
      <w:pPr>
        <w:ind w:left="715" w:right="107"/>
      </w:pPr>
      <w:r>
        <w:t xml:space="preserve">Cégjegyzékszám: 01-10-141457 </w:t>
      </w:r>
    </w:p>
    <w:p w14:paraId="4AB473A2" w14:textId="77777777" w:rsidR="008060B6" w:rsidRDefault="002D6942">
      <w:pPr>
        <w:ind w:left="715" w:right="107"/>
      </w:pPr>
      <w:r>
        <w:t xml:space="preserve">A bejegyző bíróság megnevezése: Fővárosi Törvényszék </w:t>
      </w:r>
    </w:p>
    <w:p w14:paraId="07C4DB08" w14:textId="456E760F" w:rsidR="008060B6" w:rsidRDefault="002D6942">
      <w:pPr>
        <w:ind w:left="715" w:right="107"/>
      </w:pPr>
      <w:r>
        <w:t>Adószám: 27183830-1-4</w:t>
      </w:r>
      <w:r w:rsidR="005C398E">
        <w:t>3</w:t>
      </w:r>
      <w:r>
        <w:t xml:space="preserve"> </w:t>
      </w:r>
    </w:p>
    <w:p w14:paraId="261378D5" w14:textId="6213657E" w:rsidR="008060B6" w:rsidRDefault="002D6942">
      <w:pPr>
        <w:ind w:left="715" w:right="107"/>
      </w:pPr>
      <w:r>
        <w:t xml:space="preserve">Telefonszám: </w:t>
      </w:r>
      <w:r w:rsidR="0009221E" w:rsidRPr="0009221E">
        <w:t>06-1-2</w:t>
      </w:r>
      <w:r w:rsidR="0009221E">
        <w:t>20-2356</w:t>
      </w:r>
    </w:p>
    <w:p w14:paraId="540F3C53" w14:textId="03D2F017" w:rsidR="008060B6" w:rsidRDefault="002D6942">
      <w:pPr>
        <w:spacing w:after="0" w:line="259" w:lineRule="auto"/>
        <w:ind w:left="692" w:right="0" w:firstLine="0"/>
        <w:jc w:val="left"/>
      </w:pPr>
      <w:r>
        <w:lastRenderedPageBreak/>
        <w:t xml:space="preserve">E-mail: </w:t>
      </w:r>
      <w:hyperlink r:id="rId8" w:history="1">
        <w:r w:rsidR="005C398E" w:rsidRPr="008F5C92">
          <w:rPr>
            <w:rStyle w:val="Hiperhivatkozs"/>
          </w:rPr>
          <w:t>info@cruxventures.hu</w:t>
        </w:r>
      </w:hyperlink>
      <w:r w:rsidR="005C398E">
        <w:t xml:space="preserve"> </w:t>
      </w:r>
    </w:p>
    <w:p w14:paraId="678A17CA" w14:textId="77777777" w:rsidR="008060B6" w:rsidRDefault="002D6942">
      <w:pPr>
        <w:spacing w:after="44" w:line="259" w:lineRule="auto"/>
        <w:ind w:left="0" w:right="0" w:firstLine="0"/>
        <w:jc w:val="left"/>
      </w:pPr>
      <w:r>
        <w:rPr>
          <w:sz w:val="21"/>
        </w:rPr>
        <w:t xml:space="preserve"> </w:t>
      </w:r>
    </w:p>
    <w:p w14:paraId="37BF7FD8" w14:textId="43E3E874" w:rsidR="008060B6" w:rsidRDefault="002D6942">
      <w:pPr>
        <w:numPr>
          <w:ilvl w:val="0"/>
          <w:numId w:val="2"/>
        </w:numPr>
        <w:spacing w:after="116" w:line="248" w:lineRule="auto"/>
        <w:ind w:right="100" w:hanging="567"/>
      </w:pPr>
      <w:r>
        <w:rPr>
          <w:b/>
        </w:rPr>
        <w:t xml:space="preserve">Az Adatkezelés </w:t>
      </w:r>
      <w:r w:rsidR="00821E22">
        <w:rPr>
          <w:b/>
        </w:rPr>
        <w:t xml:space="preserve">célja és </w:t>
      </w:r>
      <w:r>
        <w:rPr>
          <w:b/>
        </w:rPr>
        <w:t xml:space="preserve">jogalapja </w:t>
      </w:r>
    </w:p>
    <w:p w14:paraId="319BF05E" w14:textId="7AD77009" w:rsidR="00821E22" w:rsidRDefault="00821E22">
      <w:pPr>
        <w:numPr>
          <w:ilvl w:val="1"/>
          <w:numId w:val="2"/>
        </w:numPr>
        <w:ind w:left="695" w:right="107" w:hanging="579"/>
      </w:pPr>
      <w:r>
        <w:t>Az Adatkezelő adatkezelésének célja lehet</w:t>
      </w:r>
    </w:p>
    <w:p w14:paraId="01D9732A" w14:textId="0EC29A59" w:rsidR="00821E22" w:rsidRDefault="00821E22" w:rsidP="00074200">
      <w:pPr>
        <w:ind w:left="695" w:right="107" w:firstLine="0"/>
      </w:pPr>
      <w:r>
        <w:t xml:space="preserve">(a) </w:t>
      </w:r>
      <w:proofErr w:type="gramStart"/>
      <w:r>
        <w:t>potenciális</w:t>
      </w:r>
      <w:proofErr w:type="gramEnd"/>
      <w:r>
        <w:t xml:space="preserve"> ügyféllel, partnerrel való kapcsolattartás, amely esetben az </w:t>
      </w:r>
      <w:r w:rsidRPr="00821E22">
        <w:t>Adatkezelő a személyes adatokat</w:t>
      </w:r>
      <w:r>
        <w:t xml:space="preserve"> (név, email cím, telefonszám)</w:t>
      </w:r>
      <w:r w:rsidRPr="00821E22">
        <w:t xml:space="preserve"> az Érintett hozzájárulása, a GDPR 6. cikk (1) bekezdés a) pontja alapján kezeli</w:t>
      </w:r>
      <w:r>
        <w:t xml:space="preserve">. </w:t>
      </w:r>
      <w:r w:rsidRPr="00821E22">
        <w:t>A</w:t>
      </w:r>
      <w:r>
        <w:t>z adatok tárolása a</w:t>
      </w:r>
      <w:r w:rsidRPr="00821E22">
        <w:t xml:space="preserve"> hozzájárulás </w:t>
      </w:r>
      <w:r>
        <w:t>visszavonásáig, de legfeljebb a kezelt</w:t>
      </w:r>
      <w:r w:rsidRPr="00821E22">
        <w:t xml:space="preserve"> alapok működéséig, az adatkezelési cél teljesüléséig</w:t>
      </w:r>
      <w:r>
        <w:t xml:space="preserve"> történik</w:t>
      </w:r>
      <w:r w:rsidR="006008EB">
        <w:t>;</w:t>
      </w:r>
    </w:p>
    <w:p w14:paraId="730916CC" w14:textId="7BD761E9" w:rsidR="00821E22" w:rsidRDefault="00821E22" w:rsidP="00074200">
      <w:pPr>
        <w:ind w:left="695" w:right="107" w:firstLine="0"/>
      </w:pPr>
      <w:proofErr w:type="gramStart"/>
      <w:r>
        <w:t>(b) szerződéskötés, annak előkészítése és/vagy teljesítése, amely esetekben a</w:t>
      </w:r>
      <w:r w:rsidR="006008EB">
        <w:t xml:space="preserve"> személyes adatok</w:t>
      </w:r>
      <w:r>
        <w:t xml:space="preserve"> (név, </w:t>
      </w:r>
      <w:r w:rsidR="009E541B">
        <w:t xml:space="preserve">lakcím, anyja neve, email cím, telefonszám) </w:t>
      </w:r>
      <w:r w:rsidR="006008EB">
        <w:t xml:space="preserve">kezelése a GDPR 6. cikk (1) bekezdés b) pontjával összhangban </w:t>
      </w:r>
      <w:r w:rsidR="006008EB" w:rsidRPr="006008EB">
        <w:t>olyan szerződés teljesí</w:t>
      </w:r>
      <w:r w:rsidR="006008EB">
        <w:t>téséhez szükséges, amelyben az É</w:t>
      </w:r>
      <w:r w:rsidR="006008EB" w:rsidRPr="006008EB">
        <w:t>rintett az egyik fél, vagy az a szer</w:t>
      </w:r>
      <w:r w:rsidR="006008EB">
        <w:t>ződés megkötését megelőzően az É</w:t>
      </w:r>
      <w:r w:rsidR="006008EB" w:rsidRPr="006008EB">
        <w:t>rintett kérésére történő lépések megtételéhez szükséges</w:t>
      </w:r>
      <w:r w:rsidR="006008EB">
        <w:t>, ideértve az Adatkezelő befektetési alapkezelési tevékenysége során a Befektetőkkel, illetve egyes befektetések kapcsán az ügyfeleivel kötendő szerződéseket</w:t>
      </w:r>
      <w:r w:rsidR="00624050">
        <w:t xml:space="preserve"> is</w:t>
      </w:r>
      <w:r w:rsidR="006008EB" w:rsidRPr="006008EB">
        <w:t>;</w:t>
      </w:r>
      <w:proofErr w:type="gramEnd"/>
    </w:p>
    <w:p w14:paraId="007BDE02" w14:textId="6C710E2E" w:rsidR="006008EB" w:rsidRDefault="006008EB" w:rsidP="00074200">
      <w:pPr>
        <w:ind w:left="695" w:right="107" w:firstLine="0"/>
      </w:pPr>
      <w:r>
        <w:t>c) jogi kötelezettség teljesítése, amely esetben a jogszabály által előírt személyes adatokat a GDPR 6. cikk (1) bekezdés c) pontj</w:t>
      </w:r>
      <w:r w:rsidR="00624050">
        <w:t>a alapján kezeli.</w:t>
      </w:r>
    </w:p>
    <w:p w14:paraId="489844AE" w14:textId="42EDA33B" w:rsidR="008060B6" w:rsidRDefault="002D6942">
      <w:pPr>
        <w:numPr>
          <w:ilvl w:val="1"/>
          <w:numId w:val="2"/>
        </w:numPr>
        <w:ind w:left="695" w:right="107" w:hanging="579"/>
      </w:pPr>
      <w:r>
        <w:t xml:space="preserve">Az Adatkezelő működése során az alábbi jogalapokból kerül sor Adatkezelésre: </w:t>
      </w:r>
    </w:p>
    <w:p w14:paraId="148F9E6E" w14:textId="77777777" w:rsidR="008060B6" w:rsidRDefault="002D6942">
      <w:pPr>
        <w:numPr>
          <w:ilvl w:val="3"/>
          <w:numId w:val="8"/>
        </w:numPr>
        <w:ind w:right="107" w:hanging="428"/>
      </w:pPr>
      <w:r>
        <w:t xml:space="preserve">az Érintett hozzájárulását adta személyes adatainak egy vagy több </w:t>
      </w:r>
      <w:proofErr w:type="gramStart"/>
      <w:r>
        <w:t>konkrét</w:t>
      </w:r>
      <w:proofErr w:type="gramEnd"/>
      <w:r>
        <w:t xml:space="preserve"> célból történő kezeléséhez; </w:t>
      </w:r>
    </w:p>
    <w:p w14:paraId="64BDA5EB" w14:textId="77777777" w:rsidR="008060B6" w:rsidRDefault="002D6942">
      <w:pPr>
        <w:numPr>
          <w:ilvl w:val="3"/>
          <w:numId w:val="8"/>
        </w:numPr>
        <w:ind w:right="107" w:hanging="428"/>
      </w:pPr>
      <w:r>
        <w:t xml:space="preserve">az Adatkezelés olyan szerződés teljesítéséhez szükséges, amelyben az Érintett az egyik fél, vagy az a szerződés megkötését megelőzően az érintett kérésére történő lépések megtételéhez szükséges, ideértve az Adatkezelő befektetési alapkezelési tevékenysége során a Befektetőkkel, illetve egyes befektetések kapcsán az ügyfeleivel kötendő szerződéseket; </w:t>
      </w:r>
    </w:p>
    <w:p w14:paraId="5A931EE8" w14:textId="24C54B4A" w:rsidR="008060B6" w:rsidRDefault="002D6942">
      <w:pPr>
        <w:numPr>
          <w:ilvl w:val="3"/>
          <w:numId w:val="8"/>
        </w:numPr>
        <w:ind w:right="107" w:hanging="428"/>
      </w:pPr>
      <w:r>
        <w:t xml:space="preserve">az Adatkezelés az Adatkezelőre vonatkozó jogi kötelezettség teljesítéséhez szükséges. </w:t>
      </w:r>
    </w:p>
    <w:p w14:paraId="591591C2" w14:textId="5B853917" w:rsidR="008060B6" w:rsidRDefault="002D6942">
      <w:pPr>
        <w:numPr>
          <w:ilvl w:val="1"/>
          <w:numId w:val="2"/>
        </w:numPr>
        <w:ind w:left="695" w:right="107" w:hanging="579"/>
      </w:pPr>
      <w:r>
        <w:t xml:space="preserve">Amennyiben az Adatkezelésre jogszabály kötelező rendelkezése alapján kerül sor, az Adatkezelő erre vonatkozóan minden esetben </w:t>
      </w:r>
      <w:r w:rsidR="006008EB">
        <w:t xml:space="preserve">előzetesen </w:t>
      </w:r>
      <w:r>
        <w:t>külön értesíti az Érintetteket</w:t>
      </w:r>
      <w:r w:rsidR="006008EB">
        <w:t>, tájékoztatva őket a jogszabályhelyről, amely ezt előírja és a kezelt személyes adatok köréről</w:t>
      </w:r>
      <w:r>
        <w:t xml:space="preserve">. </w:t>
      </w:r>
      <w:r w:rsidR="006008EB" w:rsidRPr="006008EB">
        <w:t xml:space="preserve">A jogszabályi rendelkezés alapján kezelt adatokat az Adatkezelő az adatkezelés jogcímét megalapozó jogszabályban foglalt időtartamon belül kezeli, és a vonatkozó jogszabályi kötelezettség megszűnésével </w:t>
      </w:r>
      <w:proofErr w:type="spellStart"/>
      <w:r w:rsidR="006008EB" w:rsidRPr="006008EB">
        <w:t>törli</w:t>
      </w:r>
      <w:proofErr w:type="spellEnd"/>
      <w:r w:rsidR="006008EB" w:rsidRPr="006008EB">
        <w:t>.</w:t>
      </w:r>
    </w:p>
    <w:p w14:paraId="2B859366" w14:textId="77777777" w:rsidR="008060B6" w:rsidRDefault="002D6942">
      <w:pPr>
        <w:numPr>
          <w:ilvl w:val="1"/>
          <w:numId w:val="2"/>
        </w:numPr>
        <w:ind w:left="695" w:right="107" w:hanging="579"/>
      </w:pPr>
      <w:r>
        <w:t xml:space="preserve">Az Adatkezelő alapkezelési tevékenysége során az Adatkezelő tudomására jutott Személyes Adatokat elkülönítetten, ügyenként különválasztva kezeli. A papír alapú okiratokat az Adatkezelő más </w:t>
      </w:r>
      <w:proofErr w:type="gramStart"/>
      <w:r>
        <w:t>dokumentumaitól</w:t>
      </w:r>
      <w:proofErr w:type="gramEnd"/>
      <w:r>
        <w:t xml:space="preserve"> elkülönítve, zárható irattárban tárolja, az elektronikusan rendelkezésre álló adatokat pedig az Informatikai Szabályzatával összhangban kezeli. </w:t>
      </w:r>
    </w:p>
    <w:p w14:paraId="3E747451" w14:textId="443307A0" w:rsidR="008060B6" w:rsidRDefault="002D6942">
      <w:pPr>
        <w:numPr>
          <w:ilvl w:val="1"/>
          <w:numId w:val="2"/>
        </w:numPr>
        <w:ind w:left="695" w:right="107" w:hanging="579"/>
      </w:pPr>
      <w:r>
        <w:t xml:space="preserve">Azon Személyes Adatokat, amelyek nem jogszabályi rendelkezés alapján, hanem az Érintett hozzájárulása alapján kezeli, az Adatkezelő köteles az Adatkezelés céljának megszűnését követően törölni. </w:t>
      </w:r>
    </w:p>
    <w:p w14:paraId="149F0D1D" w14:textId="77777777" w:rsidR="008060B6" w:rsidRDefault="002D6942">
      <w:pPr>
        <w:numPr>
          <w:ilvl w:val="1"/>
          <w:numId w:val="2"/>
        </w:numPr>
        <w:ind w:left="695" w:right="107" w:hanging="579"/>
      </w:pPr>
      <w:r>
        <w:t xml:space="preserve">Az Adatkezelő tevékenysége során a faji vagy etnikai származásra, politikai véleményre, vallási vagy világnézeti meggyőződésre vagy szakszervezeti tagságra utaló Személyes Adatot, valamint a természetes személyek egyedi azonosítását célzó </w:t>
      </w:r>
      <w:proofErr w:type="gramStart"/>
      <w:r>
        <w:t>genetikai</w:t>
      </w:r>
      <w:proofErr w:type="gramEnd"/>
      <w:r>
        <w:t xml:space="preserve"> és </w:t>
      </w:r>
      <w:proofErr w:type="spellStart"/>
      <w:r>
        <w:t>biometrikus</w:t>
      </w:r>
      <w:proofErr w:type="spellEnd"/>
      <w:r>
        <w:t xml:space="preserve"> adatot, egészségügyi adatot és a természetes személyek szexuális életére vagy szexuális irányultságára vonatkozó Személyes Adatot semmilyen formában nem kezel. </w:t>
      </w:r>
    </w:p>
    <w:p w14:paraId="34C6C22A" w14:textId="65839270" w:rsidR="008060B6" w:rsidRDefault="002D6942">
      <w:pPr>
        <w:numPr>
          <w:ilvl w:val="1"/>
          <w:numId w:val="2"/>
        </w:numPr>
        <w:ind w:left="695" w:right="107" w:hanging="579"/>
      </w:pPr>
      <w:r>
        <w:t xml:space="preserve">Az Adatkezelő Személyes Adatokat harmadik országba nem továbbít, automatizált döntéshozatalt nem alkalmaz, </w:t>
      </w:r>
      <w:proofErr w:type="gramStart"/>
      <w:r>
        <w:t>profilozási</w:t>
      </w:r>
      <w:proofErr w:type="gramEnd"/>
      <w:r>
        <w:t xml:space="preserve"> tevékenységet nem folytat. </w:t>
      </w:r>
    </w:p>
    <w:p w14:paraId="48139AAD" w14:textId="77777777" w:rsidR="008060B6" w:rsidRDefault="002D6942">
      <w:pPr>
        <w:numPr>
          <w:ilvl w:val="1"/>
          <w:numId w:val="2"/>
        </w:numPr>
        <w:spacing w:after="32"/>
        <w:ind w:left="695" w:right="107" w:hanging="579"/>
      </w:pPr>
      <w:r>
        <w:t xml:space="preserve">Az Adatkezelő honlapján sütiket nem alkalmaz, egyéb módon a honlap látogatóiról adatokat nem gyűjt a látogatók IP címének biztonsági okokból történő megőrzésén kívül. </w:t>
      </w:r>
    </w:p>
    <w:p w14:paraId="3321BB63" w14:textId="77777777" w:rsidR="008060B6" w:rsidRDefault="002D6942">
      <w:pPr>
        <w:spacing w:after="0" w:line="259" w:lineRule="auto"/>
        <w:ind w:left="0" w:right="0" w:firstLine="0"/>
        <w:jc w:val="left"/>
      </w:pPr>
      <w:r>
        <w:rPr>
          <w:sz w:val="22"/>
        </w:rPr>
        <w:t xml:space="preserve"> </w:t>
      </w:r>
    </w:p>
    <w:p w14:paraId="301E84F4" w14:textId="77777777" w:rsidR="008060B6" w:rsidRDefault="002D6942">
      <w:pPr>
        <w:spacing w:after="0" w:line="259" w:lineRule="auto"/>
        <w:ind w:left="0" w:right="0" w:firstLine="0"/>
        <w:jc w:val="left"/>
      </w:pPr>
      <w:r>
        <w:rPr>
          <w:sz w:val="20"/>
        </w:rPr>
        <w:t xml:space="preserve"> </w:t>
      </w:r>
    </w:p>
    <w:p w14:paraId="1DDF6321" w14:textId="77777777" w:rsidR="008060B6" w:rsidRDefault="002D6942">
      <w:pPr>
        <w:numPr>
          <w:ilvl w:val="0"/>
          <w:numId w:val="2"/>
        </w:numPr>
        <w:spacing w:after="116" w:line="248" w:lineRule="auto"/>
        <w:ind w:right="100" w:hanging="567"/>
      </w:pPr>
      <w:r>
        <w:rPr>
          <w:b/>
        </w:rPr>
        <w:t xml:space="preserve">Adattovábbítás, Adatfeldolgozás, az adatokat megismerők köre </w:t>
      </w:r>
    </w:p>
    <w:p w14:paraId="1DEA9E57" w14:textId="77777777" w:rsidR="008060B6" w:rsidRDefault="002D6942">
      <w:pPr>
        <w:numPr>
          <w:ilvl w:val="1"/>
          <w:numId w:val="2"/>
        </w:numPr>
        <w:ind w:left="695" w:right="107" w:hanging="579"/>
      </w:pPr>
      <w:r>
        <w:t xml:space="preserve">Az Adatkezelő által kezelt Személyes Adatokat az Adatkezelő az alábbi Adatfeldolgozók részére adja át: </w:t>
      </w:r>
    </w:p>
    <w:p w14:paraId="4CC92FAB" w14:textId="77777777" w:rsidR="008060B6" w:rsidRDefault="002D6942">
      <w:pPr>
        <w:numPr>
          <w:ilvl w:val="3"/>
          <w:numId w:val="3"/>
        </w:numPr>
        <w:ind w:right="107" w:hanging="392"/>
      </w:pPr>
      <w:r>
        <w:t xml:space="preserve">az Adatkezelő könyvelését, bérszámfejtését végző vállalkozás részére a könyvelési, bérszámfejtési tevékenység végzéséhez szükséges mértékben: </w:t>
      </w:r>
    </w:p>
    <w:p w14:paraId="5D369893" w14:textId="77777777" w:rsidR="008060B6" w:rsidRDefault="002D6942">
      <w:pPr>
        <w:spacing w:after="116" w:line="248" w:lineRule="auto"/>
        <w:ind w:left="1120" w:right="100"/>
      </w:pPr>
      <w:r>
        <w:rPr>
          <w:b/>
        </w:rPr>
        <w:lastRenderedPageBreak/>
        <w:t xml:space="preserve">Credit Kontír Kft. </w:t>
      </w:r>
    </w:p>
    <w:p w14:paraId="128816FF" w14:textId="77777777" w:rsidR="008060B6" w:rsidRDefault="002D6942">
      <w:pPr>
        <w:spacing w:after="0" w:line="369" w:lineRule="auto"/>
        <w:ind w:left="1120" w:right="841"/>
      </w:pPr>
      <w:r>
        <w:t xml:space="preserve">Cím: 1088 Budapest, Szentkirályi utca 29-31. Bal. </w:t>
      </w:r>
      <w:proofErr w:type="spellStart"/>
      <w:r>
        <w:t>lház</w:t>
      </w:r>
      <w:proofErr w:type="spellEnd"/>
      <w:r>
        <w:t>. félemelet 1/</w:t>
      </w:r>
      <w:proofErr w:type="gramStart"/>
      <w:r>
        <w:t>a.</w:t>
      </w:r>
      <w:proofErr w:type="gramEnd"/>
      <w:r>
        <w:t xml:space="preserve"> Adószám: 23035089-2-42 </w:t>
      </w:r>
    </w:p>
    <w:p w14:paraId="09E6F514" w14:textId="77777777" w:rsidR="008060B6" w:rsidRDefault="002D6942">
      <w:pPr>
        <w:numPr>
          <w:ilvl w:val="3"/>
          <w:numId w:val="3"/>
        </w:numPr>
        <w:ind w:right="107" w:hanging="392"/>
      </w:pPr>
      <w:r>
        <w:t xml:space="preserve">az Adatkezelővel szerződés alapján az adatfeldolgozást segítő számítástechnikai eszközök és alkalmazások üzemeltetői: </w:t>
      </w:r>
    </w:p>
    <w:p w14:paraId="7C54BBD5" w14:textId="77777777" w:rsidR="008060B6" w:rsidRDefault="002D6942">
      <w:pPr>
        <w:numPr>
          <w:ilvl w:val="4"/>
          <w:numId w:val="4"/>
        </w:numPr>
        <w:spacing w:after="116" w:line="248" w:lineRule="auto"/>
        <w:ind w:right="108" w:hanging="361"/>
      </w:pPr>
      <w:r>
        <w:rPr>
          <w:b/>
        </w:rPr>
        <w:t>a JUMPER.</w:t>
      </w:r>
      <w:proofErr w:type="gramStart"/>
      <w:r>
        <w:rPr>
          <w:b/>
        </w:rPr>
        <w:t>HU</w:t>
      </w:r>
      <w:proofErr w:type="gramEnd"/>
      <w:r>
        <w:rPr>
          <w:b/>
        </w:rPr>
        <w:t xml:space="preserve"> Mérnöki Tanácsadó, Kereskedelmi és Szolgáltató Korlátolt Felelősségű Társaság</w:t>
      </w:r>
      <w:r>
        <w:t xml:space="preserve"> (Székhely: 1114 Budapest, Orlay u. 2/b. fsz.2.; Cégjegyzékszám: 01 09 174162), és </w:t>
      </w:r>
    </w:p>
    <w:p w14:paraId="59B6C3BA" w14:textId="77777777" w:rsidR="008060B6" w:rsidRDefault="002D6942">
      <w:pPr>
        <w:numPr>
          <w:ilvl w:val="4"/>
          <w:numId w:val="4"/>
        </w:numPr>
        <w:spacing w:after="0" w:line="259" w:lineRule="auto"/>
        <w:ind w:right="108" w:hanging="361"/>
      </w:pPr>
      <w:r>
        <w:rPr>
          <w:b/>
        </w:rPr>
        <w:t>CREDINFO Korlátolt Felelősségű Társaság</w:t>
      </w:r>
      <w:r>
        <w:t xml:space="preserve"> (Cím: 8000 Székesfehérvár, Budai út </w:t>
      </w:r>
    </w:p>
    <w:p w14:paraId="537F9F65" w14:textId="77777777" w:rsidR="008060B6" w:rsidRDefault="002D6942">
      <w:pPr>
        <w:ind w:left="1566" w:right="107"/>
      </w:pPr>
      <w:r>
        <w:t>9. 2. em. 215/2</w:t>
      </w:r>
      <w:proofErr w:type="gramStart"/>
      <w:r>
        <w:t>.;</w:t>
      </w:r>
      <w:proofErr w:type="gramEnd"/>
      <w:r>
        <w:t xml:space="preserve"> Adószám: 14630992-2-07). </w:t>
      </w:r>
    </w:p>
    <w:p w14:paraId="6212C3F3" w14:textId="77777777" w:rsidR="008060B6" w:rsidRDefault="002D6942">
      <w:pPr>
        <w:ind w:left="715" w:right="107"/>
      </w:pPr>
      <w:r>
        <w:t>(c)</w:t>
      </w:r>
      <w:r>
        <w:rPr>
          <w:rFonts w:ascii="Arial" w:eastAsia="Arial" w:hAnsi="Arial" w:cs="Arial"/>
        </w:rPr>
        <w:t xml:space="preserve"> </w:t>
      </w:r>
      <w:r>
        <w:t xml:space="preserve">Kiemelt átadás keretein belül:  </w:t>
      </w:r>
    </w:p>
    <w:p w14:paraId="04F42E74" w14:textId="77777777" w:rsidR="008060B6" w:rsidRDefault="002D6942">
      <w:pPr>
        <w:numPr>
          <w:ilvl w:val="5"/>
          <w:numId w:val="5"/>
        </w:numPr>
        <w:ind w:right="107" w:hanging="361"/>
      </w:pPr>
      <w:r>
        <w:t xml:space="preserve">a </w:t>
      </w:r>
      <w:r>
        <w:rPr>
          <w:b/>
        </w:rPr>
        <w:t>Magyar Nemzeti Bank</w:t>
      </w:r>
      <w:r>
        <w:t xml:space="preserve"> felügyeleti feladatai ellátása érdekében teljesítendő adatszolgáltatási kötelezettségekről szóló mindenkor hatályos MNB rendeletben megszabott jelentési kötelezettségének eleget téve; </w:t>
      </w:r>
    </w:p>
    <w:p w14:paraId="26A6BE35" w14:textId="7DEA3868" w:rsidR="008060B6" w:rsidRDefault="002D6942">
      <w:pPr>
        <w:numPr>
          <w:ilvl w:val="5"/>
          <w:numId w:val="5"/>
        </w:numPr>
        <w:spacing w:after="89"/>
        <w:ind w:right="107" w:hanging="361"/>
      </w:pPr>
      <w:r>
        <w:t>Személyes adatot érintő hatósági, bírósági vagy NAIH megkeresés alapján.</w:t>
      </w:r>
      <w:r w:rsidR="00A01F17">
        <w:t xml:space="preserve"> Társaságunk ezen</w:t>
      </w:r>
      <w:r w:rsidR="00A01F17" w:rsidRPr="00A01F17">
        <w:t xml:space="preserve"> szervek részére személyes adatot csak annyit és olyan mértékben ad ki, amely a megkeresés céljának megvalósításához elengedhetetlenül szükséges, </w:t>
      </w:r>
      <w:r w:rsidR="00A01F17">
        <w:t xml:space="preserve">az érintett szerv az adatkérés célját és az adatok körét pontosan megjelölte </w:t>
      </w:r>
      <w:r w:rsidR="00A01F17" w:rsidRPr="00A01F17">
        <w:t>és amennyiben a megkeresés teljesítését jogszabály írja elő.</w:t>
      </w:r>
      <w:r>
        <w:t xml:space="preserve"> </w:t>
      </w:r>
    </w:p>
    <w:p w14:paraId="65DBB538" w14:textId="77777777" w:rsidR="008060B6" w:rsidRDefault="002D6942">
      <w:pPr>
        <w:spacing w:after="0" w:line="259" w:lineRule="auto"/>
        <w:ind w:left="1110" w:right="0" w:firstLine="0"/>
        <w:jc w:val="left"/>
      </w:pPr>
      <w:r>
        <w:t xml:space="preserve"> </w:t>
      </w:r>
    </w:p>
    <w:p w14:paraId="38C40780" w14:textId="20E83C2F" w:rsidR="008060B6" w:rsidRDefault="002D6942">
      <w:pPr>
        <w:numPr>
          <w:ilvl w:val="1"/>
          <w:numId w:val="2"/>
        </w:numPr>
        <w:ind w:left="695" w:right="107" w:hanging="579"/>
      </w:pPr>
      <w:r>
        <w:t xml:space="preserve">Az Adatkezelő a 4.1. Pontban meghatározott Címzetteken és Adatfeldolgozókon kívül, a befektetési alapkezelési tevékenysége során tudomására jutott Személyes Adatokat abban az esetben jogosult harmadik személy részére továbbítani, ha ahhoz az Érintett hozzájárulása alapján jogosult az adatok továbbítására. </w:t>
      </w:r>
      <w:r w:rsidR="004F16D0" w:rsidRPr="004F16D0">
        <w:t>A fentieken túl egyes hatóságok, közfeladatot ellátó szervek, bíróságok személyes adatok közlése céljából megkereshetik társaságunkat. Társaságunk e s</w:t>
      </w:r>
      <w:r w:rsidR="004F16D0">
        <w:t>zervek részére, amennyiben az é</w:t>
      </w:r>
      <w:r w:rsidR="004F16D0" w:rsidRPr="004F16D0">
        <w:t>rintett szerv a pontos célt é</w:t>
      </w:r>
      <w:r w:rsidR="004F16D0">
        <w:t xml:space="preserve">s az adatok körét megjelölte </w:t>
      </w:r>
      <w:r w:rsidR="004F16D0" w:rsidRPr="004F16D0">
        <w:t>személyes adatot csak annyit és olyan mértékben ad ki, amely a megkeresés céljának megvalósításá</w:t>
      </w:r>
      <w:r w:rsidR="004F16D0">
        <w:t>hoz elengedhetetlenül szükséges</w:t>
      </w:r>
      <w:r w:rsidR="004F16D0" w:rsidRPr="004F16D0">
        <w:t xml:space="preserve"> és amennyiben a megkeresés teljesítését jogszabály írja elő.</w:t>
      </w:r>
    </w:p>
    <w:p w14:paraId="53609164" w14:textId="77777777" w:rsidR="008060B6" w:rsidRDefault="002D6942">
      <w:pPr>
        <w:numPr>
          <w:ilvl w:val="1"/>
          <w:numId w:val="2"/>
        </w:numPr>
        <w:spacing w:after="32"/>
        <w:ind w:left="695" w:right="107" w:hanging="579"/>
      </w:pPr>
      <w:r>
        <w:t xml:space="preserve">Az Adatkezelő a jelen 4. </w:t>
      </w:r>
      <w:proofErr w:type="gramStart"/>
      <w:r>
        <w:t>Pontban foglalt Címzettekkel, Adatfeldolgozókkal és Adatkezelőkkel kötött szerződésében biztosítja, hogy (i) a Címzettek, Adatfeldolgozók és az Adatkezelők teljes körű titoktartási kötelezettséget vállalnak az átadott Személyes Adatokra vonatkozóan, (ii) azokat harmadik személy részére csak akkor adják tovább, ha arra jogszabály, az Érintettekkel kötött szerződés, vagy az Érintettek Hozzájárulása alapján felhatalmazással rendelkeznek, (iii) kizárólag az adattovábbítás céljához szükséges mértékben kerül sor a Személyes Adatok átadására és (iv) az átadott Személyes Adatokat a Címzettel, Adatfeldolgozók,</w:t>
      </w:r>
      <w:proofErr w:type="gramEnd"/>
      <w:r>
        <w:t xml:space="preserve"> Adatkezelők az Adatkezelő felszólítására korlátozzák vagy törlik. </w:t>
      </w:r>
    </w:p>
    <w:p w14:paraId="3AB685A4" w14:textId="77777777" w:rsidR="008060B6" w:rsidRDefault="002D6942">
      <w:pPr>
        <w:spacing w:after="0" w:line="259" w:lineRule="auto"/>
        <w:ind w:left="0" w:right="0" w:firstLine="0"/>
        <w:jc w:val="left"/>
      </w:pPr>
      <w:r>
        <w:rPr>
          <w:sz w:val="22"/>
        </w:rPr>
        <w:t xml:space="preserve"> </w:t>
      </w:r>
    </w:p>
    <w:p w14:paraId="0731B607" w14:textId="77777777" w:rsidR="008060B6" w:rsidRDefault="002D6942">
      <w:pPr>
        <w:spacing w:after="0" w:line="259" w:lineRule="auto"/>
        <w:ind w:left="0" w:right="0" w:firstLine="0"/>
        <w:jc w:val="left"/>
      </w:pPr>
      <w:r>
        <w:rPr>
          <w:sz w:val="20"/>
        </w:rPr>
        <w:t xml:space="preserve"> </w:t>
      </w:r>
    </w:p>
    <w:p w14:paraId="1920EF08" w14:textId="77777777" w:rsidR="008060B6" w:rsidRDefault="002D6942">
      <w:pPr>
        <w:numPr>
          <w:ilvl w:val="0"/>
          <w:numId w:val="2"/>
        </w:numPr>
        <w:spacing w:after="116" w:line="248" w:lineRule="auto"/>
        <w:ind w:right="100" w:hanging="567"/>
      </w:pPr>
      <w:r>
        <w:rPr>
          <w:b/>
        </w:rPr>
        <w:t xml:space="preserve">Érintett jogai és jogérvényesítési lehetőségei </w:t>
      </w:r>
    </w:p>
    <w:p w14:paraId="1F7EBA22" w14:textId="77777777" w:rsidR="008060B6" w:rsidRDefault="002D6942">
      <w:pPr>
        <w:numPr>
          <w:ilvl w:val="1"/>
          <w:numId w:val="2"/>
        </w:numPr>
        <w:ind w:left="695" w:right="107" w:hanging="579"/>
      </w:pPr>
      <w:r>
        <w:t xml:space="preserve">Az Adatkezelő biztosítja az Érintett számára a tájékoztatáshoz való jogot, amelynek keretében az Érintett tájékoztatást kérhet Személyes Adatai kezeléséről, valamint kérheti személyes adatainak helyesbítését, illetve – a kötelező Adatkezelések kivételével – törlését, visszavonását, élhet adathordozási-, és tiltakozási jogával az Adatkezelő jelen Adatvédelmi Tájékoztatóban megjelölt elérhetőségein. </w:t>
      </w:r>
    </w:p>
    <w:p w14:paraId="5BB774FB" w14:textId="77777777" w:rsidR="008060B6" w:rsidRDefault="002D6942">
      <w:pPr>
        <w:numPr>
          <w:ilvl w:val="1"/>
          <w:numId w:val="2"/>
        </w:numPr>
        <w:spacing w:after="104" w:line="259" w:lineRule="auto"/>
        <w:ind w:left="695" w:right="107" w:hanging="579"/>
      </w:pPr>
      <w:r>
        <w:rPr>
          <w:u w:val="single" w:color="000000"/>
        </w:rPr>
        <w:t>Tájékoztatáshoz való jog</w:t>
      </w:r>
      <w:r>
        <w:t xml:space="preserve"> </w:t>
      </w:r>
    </w:p>
    <w:p w14:paraId="280F97BA" w14:textId="77777777" w:rsidR="008060B6" w:rsidRDefault="002D6942">
      <w:pPr>
        <w:numPr>
          <w:ilvl w:val="2"/>
          <w:numId w:val="2"/>
        </w:numPr>
        <w:ind w:right="107" w:hanging="709"/>
      </w:pPr>
      <w:r>
        <w:t xml:space="preserve">Az Adatkezelő a Rendelet 13. és a 14. cikkében felsorolt valamennyi </w:t>
      </w:r>
      <w:proofErr w:type="gramStart"/>
      <w:r>
        <w:t>információt</w:t>
      </w:r>
      <w:proofErr w:type="gramEnd"/>
      <w:r>
        <w:t xml:space="preserve"> és a Rendelet 15–22. és 34. cikkei szerinti minden egyes tájékoztatást tömör, átlátható, érthető és könnyen hozzáférhető formában, világosan és közérthetően megfogalmazva nyújtja az Érintettek számára. </w:t>
      </w:r>
    </w:p>
    <w:p w14:paraId="793C8C8A" w14:textId="77777777" w:rsidR="008060B6" w:rsidRDefault="002D6942">
      <w:pPr>
        <w:numPr>
          <w:ilvl w:val="2"/>
          <w:numId w:val="2"/>
        </w:numPr>
        <w:ind w:right="107" w:hanging="709"/>
      </w:pPr>
      <w:r>
        <w:t xml:space="preserve">A megfelelő tájékoztatás biztosítása érdekében az Adatkezelő honlapján közzéteszi a jelen Adatkezelési Tájékoztatót, amely tartalmazza azon elérhetőségeit, amelyeken az Érintettek jogosultak az Adatkezelőtől tájékoztatást kérni. </w:t>
      </w:r>
    </w:p>
    <w:p w14:paraId="57592CE3" w14:textId="77777777" w:rsidR="0009221E" w:rsidRDefault="002D6942" w:rsidP="0009221E">
      <w:r>
        <w:lastRenderedPageBreak/>
        <w:t xml:space="preserve">A tájékoztatáshoz való jog biztosítása érdekében az Adatkezelő kinevezte az Adatvédelmi felelőst, aki az Érintettek megkeresése alapján eljár a szükséges tájékoztatás megadása érdekében. Az Adatvédelmi felelős közvetlen elérhetőségei az alábbiak: </w:t>
      </w:r>
    </w:p>
    <w:p w14:paraId="3FDFEC97" w14:textId="2FB53FB1" w:rsidR="0009221E" w:rsidRDefault="0009221E" w:rsidP="0009221E">
      <w:pPr>
        <w:rPr>
          <w:rFonts w:ascii="Aptos" w:eastAsiaTheme="minorHAnsi" w:hAnsi="Aptos" w:cs="Times New Roman"/>
          <w:color w:val="auto"/>
          <w:sz w:val="24"/>
        </w:rPr>
      </w:pPr>
      <w:r>
        <w:t>Kutai</w:t>
      </w:r>
      <w:r>
        <w:rPr>
          <w:rFonts w:ascii="Calibri" w:hAnsi="Calibri" w:cs="Calibri"/>
          <w:sz w:val="22"/>
          <w:szCs w:val="22"/>
        </w:rPr>
        <w:t>-Kenyhercz Laura</w:t>
      </w:r>
    </w:p>
    <w:p w14:paraId="0C8421CB" w14:textId="77777777" w:rsidR="0009221E" w:rsidRDefault="0009221E" w:rsidP="0009221E">
      <w:hyperlink r:id="rId9" w:history="1">
        <w:r>
          <w:rPr>
            <w:rStyle w:val="Hiperhivatkozs"/>
            <w:rFonts w:ascii="Calibri" w:hAnsi="Calibri" w:cs="Calibri"/>
            <w:sz w:val="22"/>
            <w:szCs w:val="22"/>
          </w:rPr>
          <w:t>info@cruxventures.hu</w:t>
        </w:r>
      </w:hyperlink>
    </w:p>
    <w:p w14:paraId="4411206B" w14:textId="5DD5604E" w:rsidR="0009221E" w:rsidRDefault="0009221E" w:rsidP="0009221E">
      <w:r>
        <w:rPr>
          <w:rFonts w:ascii="Calibri" w:hAnsi="Calibri" w:cs="Calibri"/>
          <w:sz w:val="22"/>
          <w:szCs w:val="22"/>
        </w:rPr>
        <w:t>+36-1-220-</w:t>
      </w:r>
      <w:r>
        <w:rPr>
          <w:rFonts w:ascii="Calibri" w:hAnsi="Calibri" w:cs="Calibri"/>
          <w:sz w:val="22"/>
          <w:szCs w:val="22"/>
        </w:rPr>
        <w:t>2356</w:t>
      </w:r>
    </w:p>
    <w:p w14:paraId="22E87F66" w14:textId="09CB0546" w:rsidR="008060B6" w:rsidRDefault="008060B6" w:rsidP="0009221E">
      <w:pPr>
        <w:spacing w:after="81" w:line="338" w:lineRule="auto"/>
        <w:ind w:left="825" w:right="107" w:firstLine="0"/>
      </w:pPr>
    </w:p>
    <w:p w14:paraId="4C6C29DF" w14:textId="77777777" w:rsidR="008060B6" w:rsidRDefault="002D6942">
      <w:pPr>
        <w:numPr>
          <w:ilvl w:val="1"/>
          <w:numId w:val="2"/>
        </w:numPr>
        <w:spacing w:after="104" w:line="259" w:lineRule="auto"/>
        <w:ind w:left="695" w:right="107" w:hanging="579"/>
      </w:pPr>
      <w:r>
        <w:rPr>
          <w:u w:val="single" w:color="000000"/>
        </w:rPr>
        <w:t>Az Érintett hozzáféréshez való joga</w:t>
      </w:r>
      <w:r>
        <w:t xml:space="preserve"> </w:t>
      </w:r>
    </w:p>
    <w:p w14:paraId="6C8F243B" w14:textId="77777777" w:rsidR="008060B6" w:rsidRDefault="002D6942">
      <w:pPr>
        <w:numPr>
          <w:ilvl w:val="2"/>
          <w:numId w:val="2"/>
        </w:numPr>
        <w:ind w:right="107" w:hanging="709"/>
      </w:pPr>
      <w:r>
        <w:t xml:space="preserve">Az Érintett jogosult arra, hogy az Adatkezelőtől visszajelzést kapjon arra vonatkozóan, hogy Személyes Adatainak kezelése folyamatban van-e, és ha ilyen Adatkezelés folyamatban van, jogosult arra, hogy a Személyes Adatokhoz és a következő </w:t>
      </w:r>
      <w:proofErr w:type="gramStart"/>
      <w:r>
        <w:t>információkhoz</w:t>
      </w:r>
      <w:proofErr w:type="gramEnd"/>
      <w:r>
        <w:t xml:space="preserve"> hozzáférést kapjon: </w:t>
      </w:r>
    </w:p>
    <w:p w14:paraId="4A6DCB91" w14:textId="574D33B2" w:rsidR="008060B6" w:rsidRDefault="002D6942">
      <w:pPr>
        <w:numPr>
          <w:ilvl w:val="3"/>
          <w:numId w:val="2"/>
        </w:numPr>
        <w:ind w:right="107" w:hanging="426"/>
      </w:pPr>
      <w:r>
        <w:t xml:space="preserve">az adatkezelés céljai; </w:t>
      </w:r>
    </w:p>
    <w:p w14:paraId="7127554F" w14:textId="47C51718" w:rsidR="008060B6" w:rsidRDefault="002D6942">
      <w:pPr>
        <w:numPr>
          <w:ilvl w:val="3"/>
          <w:numId w:val="2"/>
        </w:numPr>
        <w:ind w:right="107" w:hanging="426"/>
      </w:pPr>
      <w:r>
        <w:t xml:space="preserve">az érintett személyes adatok </w:t>
      </w:r>
      <w:proofErr w:type="gramStart"/>
      <w:r>
        <w:t>kategóriái</w:t>
      </w:r>
      <w:proofErr w:type="gramEnd"/>
      <w:r>
        <w:t xml:space="preserve">; </w:t>
      </w:r>
    </w:p>
    <w:p w14:paraId="0D00BD86" w14:textId="6F13CEFB" w:rsidR="008060B6" w:rsidRDefault="002D6942">
      <w:pPr>
        <w:numPr>
          <w:ilvl w:val="3"/>
          <w:numId w:val="2"/>
        </w:numPr>
        <w:ind w:right="107" w:hanging="426"/>
      </w:pPr>
      <w:r>
        <w:t xml:space="preserve">az érintett személyes adatok címzettjeinek </w:t>
      </w:r>
      <w:proofErr w:type="gramStart"/>
      <w:r>
        <w:t>kategóriái</w:t>
      </w:r>
      <w:proofErr w:type="gramEnd"/>
      <w:r>
        <w:t xml:space="preserve">; </w:t>
      </w:r>
    </w:p>
    <w:p w14:paraId="7073810A" w14:textId="030E6127" w:rsidR="008060B6" w:rsidRDefault="002D6942">
      <w:pPr>
        <w:numPr>
          <w:ilvl w:val="3"/>
          <w:numId w:val="2"/>
        </w:numPr>
        <w:ind w:right="107" w:hanging="426"/>
      </w:pPr>
      <w:r>
        <w:t>amennyiben lehetséges a személyes adatok tárolásának időtartam</w:t>
      </w:r>
      <w:r w:rsidR="009B51E8">
        <w:t>a</w:t>
      </w:r>
      <w:r>
        <w:t xml:space="preserve">, ha ez nem lehetséges ezen időtartam meghatározásának szempontjai; </w:t>
      </w:r>
    </w:p>
    <w:p w14:paraId="1A2A41CA" w14:textId="59B1CB1D" w:rsidR="008060B6" w:rsidRDefault="002D6942">
      <w:pPr>
        <w:numPr>
          <w:ilvl w:val="3"/>
          <w:numId w:val="2"/>
        </w:numPr>
        <w:ind w:right="107" w:hanging="426"/>
      </w:pPr>
      <w:r>
        <w:t xml:space="preserve">a személyes adatok </w:t>
      </w:r>
      <w:proofErr w:type="spellStart"/>
      <w:r>
        <w:t>forrásá</w:t>
      </w:r>
      <w:r w:rsidR="009B51E8">
        <w:t>a</w:t>
      </w:r>
      <w:proofErr w:type="spellEnd"/>
      <w:r>
        <w:t xml:space="preserve">, ha a személyes adatokat nem az Érintetttől gyűjtötték; </w:t>
      </w:r>
    </w:p>
    <w:p w14:paraId="622A9E40" w14:textId="14CA0F5A" w:rsidR="008060B6" w:rsidRDefault="002D6942">
      <w:pPr>
        <w:numPr>
          <w:ilvl w:val="3"/>
          <w:numId w:val="2"/>
        </w:numPr>
        <w:ind w:right="107" w:hanging="426"/>
      </w:pPr>
      <w:r>
        <w:t>automatizált döntéshozatal tény</w:t>
      </w:r>
      <w:r w:rsidR="009B51E8">
        <w:t>e</w:t>
      </w:r>
      <w:r>
        <w:t xml:space="preserve">, ideértve a profilalkotást is, valamint az alkalmazott logikára vonatkozó </w:t>
      </w:r>
      <w:proofErr w:type="gramStart"/>
      <w:r>
        <w:t>információt</w:t>
      </w:r>
      <w:proofErr w:type="gramEnd"/>
      <w:r>
        <w:t xml:space="preserve"> és azt, hogy az ilyen adatkezelés milyen jelentőséggel bír, továbbá az érintettre nézve milyen következményekkel jár; és </w:t>
      </w:r>
    </w:p>
    <w:p w14:paraId="1805DC1D" w14:textId="26BBA4D2" w:rsidR="008060B6" w:rsidRDefault="002D6942">
      <w:pPr>
        <w:numPr>
          <w:ilvl w:val="3"/>
          <w:numId w:val="2"/>
        </w:numPr>
        <w:ind w:right="107" w:hanging="426"/>
      </w:pPr>
      <w:r>
        <w:t xml:space="preserve">nem megfelelő védelmi szintet biztosító országba vagy megfelelőségi határozat alapján történő adattovábbítás esetén a megfelelő </w:t>
      </w:r>
      <w:proofErr w:type="gramStart"/>
      <w:r>
        <w:t>garanciák</w:t>
      </w:r>
      <w:proofErr w:type="gramEnd"/>
      <w:r>
        <w:t xml:space="preserve">. </w:t>
      </w:r>
    </w:p>
    <w:p w14:paraId="33D9F65D" w14:textId="77777777" w:rsidR="008060B6" w:rsidRDefault="002D6942">
      <w:pPr>
        <w:ind w:left="715" w:right="0"/>
      </w:pPr>
      <w:r>
        <w:t xml:space="preserve">A visszajelzésen kívül, a Társaság - az Érintett kérelmére - a következő </w:t>
      </w:r>
      <w:proofErr w:type="gramStart"/>
      <w:r>
        <w:t>információkat</w:t>
      </w:r>
      <w:proofErr w:type="gramEnd"/>
      <w:r>
        <w:t xml:space="preserve"> bocsátja az érintett rendelkezésére: </w:t>
      </w:r>
    </w:p>
    <w:p w14:paraId="4BCD1F9B" w14:textId="07AEDDD1" w:rsidR="008060B6" w:rsidRDefault="002D6942">
      <w:pPr>
        <w:numPr>
          <w:ilvl w:val="3"/>
          <w:numId w:val="6"/>
        </w:numPr>
        <w:spacing w:after="120" w:line="234" w:lineRule="auto"/>
        <w:ind w:right="54" w:hanging="426"/>
      </w:pPr>
      <w:r>
        <w:t xml:space="preserve">az érintett azon jogáról való tájékoztatást, hogy bármikor kérelmezze személyes adatai helyesbítését vagy törlését, valamint személyes adatai kezelésének korlátozását és a személyes adatai kezelése elleni tiltakozáshoz való jogát; </w:t>
      </w:r>
    </w:p>
    <w:p w14:paraId="174264A3" w14:textId="77777777" w:rsidR="008060B6" w:rsidRDefault="002D6942">
      <w:pPr>
        <w:numPr>
          <w:ilvl w:val="3"/>
          <w:numId w:val="6"/>
        </w:numPr>
        <w:ind w:right="54" w:hanging="426"/>
      </w:pPr>
      <w:r>
        <w:t xml:space="preserve">a NAIH-hoz címzett panasz benyújtásának lehetőségét; </w:t>
      </w:r>
    </w:p>
    <w:p w14:paraId="691B8732" w14:textId="77777777" w:rsidR="008060B6" w:rsidRDefault="002D6942">
      <w:pPr>
        <w:numPr>
          <w:ilvl w:val="3"/>
          <w:numId w:val="6"/>
        </w:numPr>
        <w:ind w:right="54" w:hanging="426"/>
      </w:pPr>
      <w:r>
        <w:t xml:space="preserve">a bírósági jogorvoslat lehetőségét; és </w:t>
      </w:r>
    </w:p>
    <w:p w14:paraId="601E7C07" w14:textId="77777777" w:rsidR="008060B6" w:rsidRDefault="002D6942">
      <w:pPr>
        <w:numPr>
          <w:ilvl w:val="3"/>
          <w:numId w:val="6"/>
        </w:numPr>
        <w:spacing w:after="0"/>
        <w:ind w:right="54" w:hanging="426"/>
      </w:pPr>
      <w:r>
        <w:t xml:space="preserve">amennyiben releváns, kötelező erejű vállalati szabályok megszegéséért igényelhető kártérítés lehetőségét. </w:t>
      </w:r>
    </w:p>
    <w:p w14:paraId="0C8903D8" w14:textId="77777777" w:rsidR="008060B6" w:rsidRDefault="002D6942">
      <w:pPr>
        <w:spacing w:after="96" w:line="259" w:lineRule="auto"/>
        <w:ind w:left="0" w:right="0" w:firstLine="0"/>
        <w:jc w:val="left"/>
      </w:pPr>
      <w:r>
        <w:t xml:space="preserve"> </w:t>
      </w:r>
    </w:p>
    <w:p w14:paraId="7F652D23" w14:textId="1A0551BE" w:rsidR="008060B6" w:rsidRDefault="002D6942">
      <w:pPr>
        <w:numPr>
          <w:ilvl w:val="2"/>
          <w:numId w:val="2"/>
        </w:numPr>
        <w:ind w:right="107" w:hanging="709"/>
      </w:pPr>
      <w:r>
        <w:t xml:space="preserve">Az Adatkezelő a kérelem benyújtásától számított legfeljebb egy hónapon belül adja meg a szükséges tájékoztatást az Érintett részére. </w:t>
      </w:r>
      <w:r w:rsidR="004F16D0" w:rsidRPr="004F16D0">
        <w:t>A Társaság az adatkezelés tárgyát képező személyes adatok másolatát az Érintett erre irányuló kérésére első alkalommal díjmentesen bocsátja a rendelkezésére, ezt követően az általános adatvédelmi rendelet 12. cikk (5) bekezdésével összhangban, ha az Érintett kérelme egyértelműen megalapozatlan, vagy – különösen ismétlődő jellege miatt – túlzó, adminisztratív költségeken alapuló, ésszerű mértékű díjat számíthat fel, vagy megtagadhatja a kérelem alapján történő intézkedést.</w:t>
      </w:r>
    </w:p>
    <w:p w14:paraId="67819657" w14:textId="77777777" w:rsidR="008060B6" w:rsidRDefault="002D6942">
      <w:pPr>
        <w:numPr>
          <w:ilvl w:val="1"/>
          <w:numId w:val="2"/>
        </w:numPr>
        <w:spacing w:after="104" w:line="259" w:lineRule="auto"/>
        <w:ind w:left="695" w:right="107" w:hanging="579"/>
      </w:pPr>
      <w:r>
        <w:rPr>
          <w:u w:val="single" w:color="000000"/>
        </w:rPr>
        <w:t>Helyesbítés joga</w:t>
      </w:r>
      <w:r>
        <w:t xml:space="preserve"> </w:t>
      </w:r>
    </w:p>
    <w:p w14:paraId="717186E8" w14:textId="0524AFED" w:rsidR="008060B6" w:rsidRDefault="002D6942">
      <w:pPr>
        <w:ind w:left="715" w:right="107"/>
      </w:pPr>
      <w:r>
        <w:t xml:space="preserve">Amennyiben az Érintett kéri, az Adatkezelő az általa kezelt, az Érintettre vonatkozó pontatlan Személyes Adatokat helyesbíti és a hiányos adatokat kiegészíti. </w:t>
      </w:r>
    </w:p>
    <w:p w14:paraId="2B51636D" w14:textId="77777777" w:rsidR="008060B6" w:rsidRDefault="002D6942">
      <w:pPr>
        <w:numPr>
          <w:ilvl w:val="1"/>
          <w:numId w:val="2"/>
        </w:numPr>
        <w:spacing w:after="104" w:line="259" w:lineRule="auto"/>
        <w:ind w:left="695" w:right="107" w:hanging="579"/>
      </w:pPr>
      <w:r>
        <w:rPr>
          <w:u w:val="single" w:color="000000"/>
        </w:rPr>
        <w:t>Törléshez való jog</w:t>
      </w:r>
      <w:r>
        <w:t xml:space="preserve"> </w:t>
      </w:r>
    </w:p>
    <w:p w14:paraId="6C600ADC" w14:textId="77777777" w:rsidR="008060B6" w:rsidRDefault="002D6942">
      <w:pPr>
        <w:numPr>
          <w:ilvl w:val="2"/>
          <w:numId w:val="2"/>
        </w:numPr>
        <w:ind w:right="107" w:hanging="709"/>
      </w:pPr>
      <w:r>
        <w:t xml:space="preserve">Az Érintett az alábbi indokok valamelyikének fennállása esetén jogosult arra, hogy kérésére az Adatkezelő indokolatlan késedelem nélkül törölje az Érintettre vonatkozó Személyes Adatokat: </w:t>
      </w:r>
    </w:p>
    <w:p w14:paraId="3B8D97F4" w14:textId="77777777" w:rsidR="008060B6" w:rsidRDefault="002D6942">
      <w:pPr>
        <w:numPr>
          <w:ilvl w:val="3"/>
          <w:numId w:val="2"/>
        </w:numPr>
        <w:ind w:right="107" w:hanging="426"/>
      </w:pPr>
      <w:r>
        <w:t xml:space="preserve">a Személyes Adatokra már nincs szükség abból a célból, amelyből azokat gyűjtötték vagy más módon kezelték; </w:t>
      </w:r>
    </w:p>
    <w:p w14:paraId="420B3333" w14:textId="77777777" w:rsidR="008060B6" w:rsidRDefault="002D6942">
      <w:pPr>
        <w:numPr>
          <w:ilvl w:val="3"/>
          <w:numId w:val="2"/>
        </w:numPr>
        <w:ind w:right="107" w:hanging="426"/>
      </w:pPr>
      <w:r>
        <w:lastRenderedPageBreak/>
        <w:t xml:space="preserve">az Érintett visszavonja az Adatkezelés alapját képező Hozzájárulását, és az Adatkezelésnek nincs más jogalapja; </w:t>
      </w:r>
    </w:p>
    <w:p w14:paraId="42B7F0E9" w14:textId="77777777" w:rsidR="008060B6" w:rsidRDefault="002D6942">
      <w:pPr>
        <w:numPr>
          <w:ilvl w:val="3"/>
          <w:numId w:val="2"/>
        </w:numPr>
        <w:ind w:right="107" w:hanging="426"/>
      </w:pPr>
      <w:r>
        <w:t xml:space="preserve">az Érintett tiltakozik az Adatkezelés ellen, és nincs elsőbbséget élvező jogszerű ok az Adatkezelésre; </w:t>
      </w:r>
    </w:p>
    <w:p w14:paraId="25A1FC21" w14:textId="77777777" w:rsidR="008060B6" w:rsidRDefault="002D6942">
      <w:pPr>
        <w:numPr>
          <w:ilvl w:val="3"/>
          <w:numId w:val="2"/>
        </w:numPr>
        <w:ind w:right="107" w:hanging="426"/>
      </w:pPr>
      <w:r>
        <w:t xml:space="preserve">a Személyes Adatokat az Adatkezelő jogellenesen kezelte; </w:t>
      </w:r>
    </w:p>
    <w:p w14:paraId="52523D87" w14:textId="77777777" w:rsidR="008060B6" w:rsidRDefault="002D6942">
      <w:pPr>
        <w:numPr>
          <w:ilvl w:val="3"/>
          <w:numId w:val="2"/>
        </w:numPr>
        <w:ind w:right="107" w:hanging="426"/>
      </w:pPr>
      <w:r>
        <w:t xml:space="preserve">a Személyes Adatokat az Adatkezelőre alkalmazandó uniós vagy magyar jogban előírt jogi kötelezettség teljesítéséhez törölni kell; </w:t>
      </w:r>
    </w:p>
    <w:p w14:paraId="380F3F15" w14:textId="77777777" w:rsidR="008060B6" w:rsidRDefault="002D6942">
      <w:pPr>
        <w:numPr>
          <w:ilvl w:val="3"/>
          <w:numId w:val="2"/>
        </w:numPr>
        <w:ind w:right="107" w:hanging="426"/>
      </w:pPr>
      <w:r>
        <w:t xml:space="preserve">a Személyes Adatok gyűjtésére </w:t>
      </w:r>
      <w:proofErr w:type="gramStart"/>
      <w:r>
        <w:t>információs</w:t>
      </w:r>
      <w:proofErr w:type="gramEnd"/>
      <w:r>
        <w:t xml:space="preserve"> társadalommal összefüggő szolgáltatások kínálásával kapcsolatosan került sor. </w:t>
      </w:r>
    </w:p>
    <w:p w14:paraId="3BF3D6B4" w14:textId="77777777" w:rsidR="008060B6" w:rsidRDefault="002D6942">
      <w:pPr>
        <w:numPr>
          <w:ilvl w:val="2"/>
          <w:numId w:val="2"/>
        </w:numPr>
        <w:ind w:right="107" w:hanging="709"/>
      </w:pPr>
      <w:r>
        <w:t xml:space="preserve">A Személyes Adatok törlése nem kezdeményezhető, ha az Adatkezelés szükséges: </w:t>
      </w:r>
    </w:p>
    <w:p w14:paraId="4DF9381C" w14:textId="04422F42" w:rsidR="008060B6" w:rsidRDefault="002D6942" w:rsidP="0009221E">
      <w:pPr>
        <w:numPr>
          <w:ilvl w:val="3"/>
          <w:numId w:val="2"/>
        </w:numPr>
        <w:ind w:right="107" w:hanging="426"/>
      </w:pPr>
      <w:r>
        <w:t xml:space="preserve">a Személyes Adatok kezelését előíró, az Adatkezelőre alkalmazandó jogszabály szerinti kötelezettség teljesítése, illetve </w:t>
      </w:r>
      <w:bookmarkStart w:id="0" w:name="_GoBack"/>
      <w:bookmarkEnd w:id="0"/>
    </w:p>
    <w:p w14:paraId="6CEA65BB" w14:textId="77777777" w:rsidR="008060B6" w:rsidRDefault="002D6942">
      <w:pPr>
        <w:numPr>
          <w:ilvl w:val="3"/>
          <w:numId w:val="2"/>
        </w:numPr>
        <w:ind w:right="107" w:hanging="426"/>
      </w:pPr>
      <w:r>
        <w:t xml:space="preserve">jogi igények előterjesztéséhez, érvényesítéséhez, illetve védelméhez. </w:t>
      </w:r>
    </w:p>
    <w:p w14:paraId="774DB5C9" w14:textId="77777777" w:rsidR="008060B6" w:rsidRDefault="002D6942">
      <w:pPr>
        <w:numPr>
          <w:ilvl w:val="1"/>
          <w:numId w:val="2"/>
        </w:numPr>
        <w:spacing w:after="104" w:line="259" w:lineRule="auto"/>
        <w:ind w:left="695" w:right="107" w:hanging="579"/>
      </w:pPr>
      <w:r>
        <w:rPr>
          <w:u w:val="single" w:color="000000"/>
        </w:rPr>
        <w:t>Az Adatkezelés korlátozásához való jog</w:t>
      </w:r>
      <w:r>
        <w:t xml:space="preserve"> </w:t>
      </w:r>
    </w:p>
    <w:p w14:paraId="7B43CDC9" w14:textId="77777777" w:rsidR="008060B6" w:rsidRDefault="002D6942">
      <w:pPr>
        <w:ind w:left="715" w:right="107"/>
      </w:pPr>
      <w:r>
        <w:t xml:space="preserve">Az Érintett kérésére az Adatkezelő korlátozza az Adatkezelést, ha az alábbi feltételek valamelyike teljesül: </w:t>
      </w:r>
    </w:p>
    <w:p w14:paraId="733A9C44" w14:textId="77777777" w:rsidR="008060B6" w:rsidRDefault="002D6942">
      <w:pPr>
        <w:numPr>
          <w:ilvl w:val="3"/>
          <w:numId w:val="7"/>
        </w:numPr>
        <w:ind w:right="107" w:hanging="392"/>
      </w:pPr>
      <w:r>
        <w:t xml:space="preserve">az Érintett vitatja a Személyes Adatok pontosságát, ez esetben a korlátozás arra az időtartamra vonatkozik, amely lehetővé teszi, a Személyes Adatok pontosságának ellenőrzését; </w:t>
      </w:r>
    </w:p>
    <w:p w14:paraId="2A89CD79" w14:textId="77777777" w:rsidR="008060B6" w:rsidRDefault="002D6942">
      <w:pPr>
        <w:numPr>
          <w:ilvl w:val="3"/>
          <w:numId w:val="7"/>
        </w:numPr>
        <w:ind w:right="107" w:hanging="392"/>
      </w:pPr>
      <w:r>
        <w:t xml:space="preserve">az Adatkezelés jogellenes, és az Érintett ellenzi a Személyes Adatok törlését, és </w:t>
      </w:r>
      <w:proofErr w:type="gramStart"/>
      <w:r>
        <w:t>ehelyett</w:t>
      </w:r>
      <w:proofErr w:type="gramEnd"/>
      <w:r>
        <w:t xml:space="preserve"> kéri azok felhasználásának korlátozását; </w:t>
      </w:r>
    </w:p>
    <w:p w14:paraId="039C5CAC" w14:textId="77777777" w:rsidR="008060B6" w:rsidRDefault="002D6942">
      <w:pPr>
        <w:numPr>
          <w:ilvl w:val="3"/>
          <w:numId w:val="7"/>
        </w:numPr>
        <w:ind w:right="107" w:hanging="392"/>
      </w:pPr>
      <w:r>
        <w:t xml:space="preserve">az Adatkezelőnek már nincs szüksége a Személyes Adatokra Adatkezelés céljából, de az Érintett igényli azokat jogi igények előterjesztéséhez, érvényesítéséhez vagy védelméhez; vagy </w:t>
      </w:r>
    </w:p>
    <w:p w14:paraId="209BF16D" w14:textId="77777777" w:rsidR="008060B6" w:rsidRDefault="002D6942">
      <w:pPr>
        <w:numPr>
          <w:ilvl w:val="3"/>
          <w:numId w:val="7"/>
        </w:numPr>
        <w:ind w:right="107" w:hanging="392"/>
      </w:pPr>
      <w:r>
        <w:t xml:space="preserve">az Érintett tiltakozott az Adatkezelés ellen, amely esetben a korlátozás arra az időtartamra vonatkozik, amíg megállapításra nem kerül, hogy az Adatkezelő jogos indokai elsőbbséget élveznek-e az Érintett jogos indokaival szemben. </w:t>
      </w:r>
    </w:p>
    <w:p w14:paraId="1989AC41" w14:textId="77777777" w:rsidR="008060B6" w:rsidRDefault="002D6942">
      <w:pPr>
        <w:spacing w:after="9"/>
        <w:ind w:left="715" w:right="107"/>
      </w:pPr>
      <w:r>
        <w:t xml:space="preserve">Ha az Adatkezelés korlátozására kerül sor, a Személyes Adatokat a tárolás kivételével csak az </w:t>
      </w:r>
    </w:p>
    <w:p w14:paraId="51A2024B" w14:textId="77777777" w:rsidR="008060B6" w:rsidRDefault="002D6942">
      <w:pPr>
        <w:ind w:left="715" w:right="107"/>
      </w:pPr>
      <w:r>
        <w:t xml:space="preserve">Érintett hozzájárulásával, vagy jogi igények előterjesztéséhez, érvényesítéséhez vagy </w:t>
      </w:r>
    </w:p>
    <w:p w14:paraId="4F3ED86D" w14:textId="77777777" w:rsidR="008060B6" w:rsidRDefault="002D6942" w:rsidP="00074200">
      <w:pPr>
        <w:ind w:left="692" w:right="107" w:firstLine="0"/>
      </w:pPr>
      <w:proofErr w:type="gramStart"/>
      <w:r>
        <w:t>védelméhez</w:t>
      </w:r>
      <w:proofErr w:type="gramEnd"/>
      <w:r>
        <w:t xml:space="preserve">, vagy más természetes vagy jogi személy jogainak védelme érdekében, vagy az Unió, illetve valamely tagállam fontos közérdekéből lehet kezelni. </w:t>
      </w:r>
    </w:p>
    <w:p w14:paraId="3901BDFE" w14:textId="77777777" w:rsidR="008060B6" w:rsidRDefault="002D6942">
      <w:pPr>
        <w:numPr>
          <w:ilvl w:val="1"/>
          <w:numId w:val="2"/>
        </w:numPr>
        <w:spacing w:after="104" w:line="259" w:lineRule="auto"/>
        <w:ind w:left="695" w:right="107" w:hanging="579"/>
      </w:pPr>
      <w:r>
        <w:rPr>
          <w:u w:val="single" w:color="000000"/>
        </w:rPr>
        <w:t>Adathordozhatósághoz való jog</w:t>
      </w:r>
      <w:r>
        <w:t xml:space="preserve"> </w:t>
      </w:r>
    </w:p>
    <w:p w14:paraId="12E27E6F" w14:textId="77777777" w:rsidR="008060B6" w:rsidRDefault="002D6942">
      <w:pPr>
        <w:ind w:left="715" w:right="107"/>
      </w:pPr>
      <w:r>
        <w:t xml:space="preserve">Az Érintett jogosult arra, hogy a rá vonatkozó, általa az Adatkezelő rendelkezésére bocsátott Személyes Adatokat tagolt, széles körben használt, géppel olvasható formátumban megkapja, és ezeket a Személyes Adatokat egy másik Adatkezelőnek továbbítsa. </w:t>
      </w:r>
    </w:p>
    <w:p w14:paraId="161934E7" w14:textId="77777777" w:rsidR="008060B6" w:rsidRDefault="002D6942">
      <w:pPr>
        <w:numPr>
          <w:ilvl w:val="1"/>
          <w:numId w:val="2"/>
        </w:numPr>
        <w:spacing w:after="104" w:line="259" w:lineRule="auto"/>
        <w:ind w:left="695" w:right="107" w:hanging="579"/>
      </w:pPr>
      <w:r>
        <w:rPr>
          <w:u w:val="single" w:color="000000"/>
        </w:rPr>
        <w:t>Tiltakozáshoz való jog</w:t>
      </w:r>
      <w:r>
        <w:t xml:space="preserve"> </w:t>
      </w:r>
    </w:p>
    <w:p w14:paraId="600F4DD2" w14:textId="77777777" w:rsidR="008060B6" w:rsidRDefault="002D6942">
      <w:pPr>
        <w:ind w:left="715" w:right="107"/>
      </w:pPr>
      <w:r>
        <w:t xml:space="preserve">Az Érintett az Adatkezelő jelen Adatvédelmi Tájékoztatóval megadott elérhetőségein keresztül, írásban tiltakozhat az Adatkezelés ellen, ha az Adatkezelő a Személyes Adatát közvetlen üzletszerzés, közvélemény-kutatás vagy tudományos kutatás céljából továbbítaná vagy felhasználná. </w:t>
      </w:r>
    </w:p>
    <w:p w14:paraId="46294B34" w14:textId="77777777" w:rsidR="008060B6" w:rsidRDefault="002D6942">
      <w:pPr>
        <w:numPr>
          <w:ilvl w:val="1"/>
          <w:numId w:val="2"/>
        </w:numPr>
        <w:spacing w:after="104" w:line="259" w:lineRule="auto"/>
        <w:ind w:left="695" w:right="107" w:hanging="579"/>
      </w:pPr>
      <w:r>
        <w:rPr>
          <w:u w:val="single" w:color="000000"/>
        </w:rPr>
        <w:t>Bírósághoz fordulás joga</w:t>
      </w:r>
      <w:r>
        <w:t xml:space="preserve"> </w:t>
      </w:r>
    </w:p>
    <w:p w14:paraId="3936E288" w14:textId="742EAA32" w:rsidR="008060B6" w:rsidRDefault="002D6942">
      <w:pPr>
        <w:ind w:left="715" w:right="107"/>
      </w:pPr>
      <w:r>
        <w:t xml:space="preserve">Az Érintett a jogainak megsértése esetén az Adatkezelő ellen bírósághoz fordulhat. A bíróság az ügyben soron kívül jár el. </w:t>
      </w:r>
      <w:r w:rsidR="009B51E8" w:rsidRPr="009B51E8">
        <w:t>Az Érintett a pert a Fővárosi Törvényszék előtt vagy a lakóhelye szerinti törvényszék előtt indíthatja meg</w:t>
      </w:r>
      <w:r w:rsidR="009B51E8">
        <w:t xml:space="preserve"> (a magyarországi</w:t>
      </w:r>
      <w:r w:rsidR="009B51E8" w:rsidRPr="009B51E8">
        <w:t xml:space="preserve"> a törvényszékek elérhetősége az alábbi </w:t>
      </w:r>
      <w:proofErr w:type="gramStart"/>
      <w:r w:rsidR="009B51E8" w:rsidRPr="009B51E8">
        <w:t>linken</w:t>
      </w:r>
      <w:proofErr w:type="gramEnd"/>
      <w:r w:rsidR="009B51E8" w:rsidRPr="009B51E8">
        <w:t xml:space="preserve"> található: </w:t>
      </w:r>
      <w:hyperlink r:id="rId10">
        <w:r w:rsidR="009B51E8" w:rsidRPr="009B51E8">
          <w:rPr>
            <w:rStyle w:val="Hiperhivatkozs"/>
          </w:rPr>
          <w:t>http://birosag.hu/torvenyszeke</w:t>
        </w:r>
      </w:hyperlink>
      <w:hyperlink r:id="rId11">
        <w:r w:rsidR="009B51E8" w:rsidRPr="009B51E8">
          <w:rPr>
            <w:rStyle w:val="Hiperhivatkozs"/>
          </w:rPr>
          <w:t>k</w:t>
        </w:r>
      </w:hyperlink>
      <w:r w:rsidR="009B51E8">
        <w:t>).</w:t>
      </w:r>
      <w:hyperlink r:id="rId12">
        <w:r w:rsidR="009B51E8" w:rsidRPr="009B51E8">
          <w:rPr>
            <w:rStyle w:val="Hiperhivatkozs"/>
          </w:rPr>
          <w:t xml:space="preserve"> </w:t>
        </w:r>
      </w:hyperlink>
      <w:r w:rsidR="009B51E8" w:rsidRPr="009B51E8">
        <w:t>Amennyiben az Érintett szokásos tartózkodási helye az Európai Unió más tagállamában van, akkor a per a szokásos tartózkodási hely szerinti tagállam hatáskörrel és illetékességgel rendelkező bírósága előtt is megindítható.</w:t>
      </w:r>
    </w:p>
    <w:p w14:paraId="099D50AE" w14:textId="77777777" w:rsidR="008060B6" w:rsidRDefault="002D6942">
      <w:pPr>
        <w:numPr>
          <w:ilvl w:val="1"/>
          <w:numId w:val="2"/>
        </w:numPr>
        <w:spacing w:after="104" w:line="259" w:lineRule="auto"/>
        <w:ind w:left="695" w:right="107" w:hanging="579"/>
      </w:pPr>
      <w:r>
        <w:rPr>
          <w:u w:val="single" w:color="000000"/>
        </w:rPr>
        <w:t>Adatvédelmi hatósági eljárás</w:t>
      </w:r>
      <w:r>
        <w:t xml:space="preserve"> </w:t>
      </w:r>
    </w:p>
    <w:p w14:paraId="732CCB72" w14:textId="77777777" w:rsidR="008060B6" w:rsidRDefault="002D6942">
      <w:pPr>
        <w:ind w:left="715" w:right="107"/>
      </w:pPr>
      <w:r>
        <w:t xml:space="preserve">Az Érintett jogosult az Adatkezelővel szemben panaszt benyújtani a Nemzeti Adatvédelmi és Információszabadság Hatóságnál: </w:t>
      </w:r>
    </w:p>
    <w:p w14:paraId="1885C303" w14:textId="77777777" w:rsidR="008060B6" w:rsidRDefault="002D6942">
      <w:pPr>
        <w:ind w:left="715" w:right="107"/>
      </w:pPr>
      <w:r>
        <w:t xml:space="preserve">Név: Nemzeti Adatvédelmi és Információszabadság Hatóság </w:t>
      </w:r>
    </w:p>
    <w:p w14:paraId="5E970176" w14:textId="77777777" w:rsidR="008060B6" w:rsidRDefault="002D6942">
      <w:pPr>
        <w:spacing w:after="5" w:line="363" w:lineRule="auto"/>
        <w:ind w:left="677" w:right="4617"/>
        <w:jc w:val="left"/>
      </w:pPr>
      <w:r>
        <w:lastRenderedPageBreak/>
        <w:t>Cím: 1055 Budapest, Falk Miksa utca 9-11.; Postacím: 1363 Budapest, Pf.: 9</w:t>
      </w:r>
      <w:proofErr w:type="gramStart"/>
      <w:r>
        <w:t>.;</w:t>
      </w:r>
      <w:proofErr w:type="gramEnd"/>
      <w:r>
        <w:t xml:space="preserve">  e-mail: </w:t>
      </w:r>
      <w:r>
        <w:rPr>
          <w:color w:val="0000FF"/>
          <w:u w:val="single" w:color="0000FF"/>
        </w:rPr>
        <w:t>ugyfelszolgalat@naih.hu</w:t>
      </w:r>
      <w:r>
        <w:t xml:space="preserve">;  </w:t>
      </w:r>
    </w:p>
    <w:p w14:paraId="621FEE9F" w14:textId="77777777" w:rsidR="008060B6" w:rsidRDefault="002D6942">
      <w:pPr>
        <w:spacing w:after="5" w:line="363" w:lineRule="auto"/>
        <w:ind w:left="715" w:right="1761"/>
      </w:pPr>
      <w:proofErr w:type="gramStart"/>
      <w:r>
        <w:t>telefon</w:t>
      </w:r>
      <w:proofErr w:type="gramEnd"/>
      <w:r>
        <w:t xml:space="preserve">: +36 (30) 683-5969, +36 (30) 549-6838; +36 (1) 391-1400;  Fax: +36 (1) 391-1410). </w:t>
      </w:r>
    </w:p>
    <w:p w14:paraId="7E123308" w14:textId="77777777" w:rsidR="008060B6" w:rsidRDefault="002D6942">
      <w:pPr>
        <w:spacing w:after="101" w:line="259" w:lineRule="auto"/>
        <w:ind w:left="682" w:right="0" w:firstLine="0"/>
        <w:jc w:val="left"/>
      </w:pPr>
      <w:r>
        <w:t xml:space="preserve"> </w:t>
      </w:r>
    </w:p>
    <w:p w14:paraId="1B3CC1FB" w14:textId="77777777" w:rsidR="008060B6" w:rsidRDefault="002D6942">
      <w:pPr>
        <w:numPr>
          <w:ilvl w:val="1"/>
          <w:numId w:val="2"/>
        </w:numPr>
        <w:ind w:left="695" w:right="107" w:hanging="579"/>
      </w:pPr>
      <w:r>
        <w:t xml:space="preserve">A tájékoztató 4 Pontjában megadott Adatfeldolgozók és Címzettek szokásos védelmi rendszerekkel ellátott szerverein, részben a saját informatikai eszközein, papír adathordozó </w:t>
      </w:r>
      <w:proofErr w:type="gramStart"/>
      <w:r>
        <w:t>esetén</w:t>
      </w:r>
      <w:proofErr w:type="gramEnd"/>
      <w:r>
        <w:t xml:space="preserve"> székhelyén megfelelően elzárva tárolja. A Személyes Adatok tárolásához az Adatkezelő más közreműködő szolgáltatását nem veszi igénybe. </w:t>
      </w:r>
    </w:p>
    <w:p w14:paraId="04EA6845" w14:textId="77777777" w:rsidR="008060B6" w:rsidRDefault="002D6942">
      <w:pPr>
        <w:numPr>
          <w:ilvl w:val="1"/>
          <w:numId w:val="2"/>
        </w:numPr>
        <w:spacing w:after="0"/>
        <w:ind w:left="695" w:right="107" w:hanging="579"/>
      </w:pPr>
      <w:r>
        <w:t xml:space="preserve">Az Adatkezelő az elvárható intézkedésekkel, Informatikai Szabályzatával összhangban gondoskodik arról, hogy a Személyes Adatokat védje többek között a jogosulatlan hozzáférés ellen vagy azok jogosulatlan megváltoztatása ellen. </w:t>
      </w:r>
      <w:r>
        <w:rPr>
          <w:sz w:val="22"/>
        </w:rPr>
        <w:t xml:space="preserve"> </w:t>
      </w:r>
    </w:p>
    <w:p w14:paraId="2FAEC761" w14:textId="77777777" w:rsidR="008060B6" w:rsidRDefault="002D6942">
      <w:pPr>
        <w:spacing w:after="0" w:line="259" w:lineRule="auto"/>
        <w:ind w:left="0" w:right="0" w:firstLine="0"/>
        <w:jc w:val="left"/>
      </w:pPr>
      <w:r>
        <w:rPr>
          <w:sz w:val="20"/>
        </w:rPr>
        <w:t xml:space="preserve"> </w:t>
      </w:r>
    </w:p>
    <w:p w14:paraId="5F23A370" w14:textId="77777777" w:rsidR="008060B6" w:rsidRDefault="002D6942">
      <w:pPr>
        <w:numPr>
          <w:ilvl w:val="0"/>
          <w:numId w:val="2"/>
        </w:numPr>
        <w:spacing w:after="116" w:line="248" w:lineRule="auto"/>
        <w:ind w:right="100" w:hanging="567"/>
      </w:pPr>
      <w:r>
        <w:rPr>
          <w:b/>
        </w:rPr>
        <w:t xml:space="preserve">Adatvédelmi Incidens </w:t>
      </w:r>
    </w:p>
    <w:p w14:paraId="7541D94C" w14:textId="77777777" w:rsidR="008060B6" w:rsidRDefault="002D6942">
      <w:pPr>
        <w:numPr>
          <w:ilvl w:val="1"/>
          <w:numId w:val="2"/>
        </w:numPr>
        <w:ind w:left="695" w:right="107" w:hanging="579"/>
      </w:pPr>
      <w:r>
        <w:t xml:space="preserve">Az Adatvédelmi Incidenst az Adatkezelő indokolatlan késedelem nélkül, legkésőbb 72 órával </w:t>
      </w:r>
      <w:proofErr w:type="gramStart"/>
      <w:r>
        <w:t>azután</w:t>
      </w:r>
      <w:proofErr w:type="gramEnd"/>
      <w:r>
        <w:t xml:space="preserve">, hogy az Adatvédelmi Incidens a tudomására jutott, bejelenti a NAIH-nak, kivéve, ha az Adatvédelmi Incidens valószínűsíthetően nem jár kockázattal a természetes személyek jogaira és szabadságaira nézve. </w:t>
      </w:r>
    </w:p>
    <w:p w14:paraId="7A3A4219" w14:textId="77777777" w:rsidR="008060B6" w:rsidRDefault="002D6942">
      <w:pPr>
        <w:numPr>
          <w:ilvl w:val="1"/>
          <w:numId w:val="2"/>
        </w:numPr>
        <w:ind w:left="695" w:right="107" w:hanging="579"/>
      </w:pPr>
      <w:r>
        <w:t xml:space="preserve">Ha a 6.1 Pontban foglalt bejelentést az Adatkezelő nem teszi meg a tudomásszerzést követő 72 órán belül, a Bejelentéshez mellékelni kell a késedelem igazolására szolgáló indokokat is. </w:t>
      </w:r>
    </w:p>
    <w:p w14:paraId="2806C546" w14:textId="4566B39F" w:rsidR="008060B6" w:rsidRDefault="002D6942">
      <w:pPr>
        <w:numPr>
          <w:ilvl w:val="1"/>
          <w:numId w:val="2"/>
        </w:numPr>
        <w:ind w:left="695" w:right="107" w:hanging="579"/>
      </w:pPr>
      <w:r>
        <w:t>Az Adatvédelmi Incidenst az Adatkezelő képviseletében az Adatvédelmi felelős, akadályoztatása esetén a</w:t>
      </w:r>
      <w:r w:rsidR="009B51E8">
        <w:t>z</w:t>
      </w:r>
      <w:r>
        <w:t xml:space="preserve"> </w:t>
      </w:r>
      <w:r w:rsidR="009B51E8">
        <w:t xml:space="preserve">igazgatóság elnöke </w:t>
      </w:r>
      <w:r>
        <w:t xml:space="preserve">jelenti be a NAIH-nak. </w:t>
      </w:r>
    </w:p>
    <w:p w14:paraId="26CAE293" w14:textId="77777777" w:rsidR="008060B6" w:rsidRDefault="002D6942">
      <w:pPr>
        <w:numPr>
          <w:ilvl w:val="1"/>
          <w:numId w:val="2"/>
        </w:numPr>
        <w:ind w:left="695" w:right="107" w:hanging="579"/>
      </w:pPr>
      <w:r>
        <w:t xml:space="preserve">A Bejelentésben legalább: </w:t>
      </w:r>
    </w:p>
    <w:p w14:paraId="5062FA91" w14:textId="77777777" w:rsidR="008060B6" w:rsidRDefault="002D6942">
      <w:pPr>
        <w:numPr>
          <w:ilvl w:val="3"/>
          <w:numId w:val="9"/>
        </w:numPr>
        <w:ind w:right="107" w:hanging="392"/>
      </w:pPr>
      <w:r>
        <w:t xml:space="preserve">ismertetni kell az Adatvédelmi Incidens jellegét, beleértve – ha lehetséges – az Érintettek </w:t>
      </w:r>
      <w:proofErr w:type="gramStart"/>
      <w:r>
        <w:t>kategóriáit</w:t>
      </w:r>
      <w:proofErr w:type="gramEnd"/>
      <w:r>
        <w:t xml:space="preserve"> és hozzávetőleges számát, valamint az Adatvédelmi Incidenssel érintett Személyes Adatok kategóriáit és hozzávetőleges számát; </w:t>
      </w:r>
    </w:p>
    <w:p w14:paraId="00336C5D" w14:textId="77777777" w:rsidR="008060B6" w:rsidRDefault="002D6942">
      <w:pPr>
        <w:numPr>
          <w:ilvl w:val="3"/>
          <w:numId w:val="9"/>
        </w:numPr>
        <w:ind w:right="107" w:hanging="392"/>
      </w:pPr>
      <w:r>
        <w:t xml:space="preserve">közölni kell az Adatvédelmi felelős vagy a további tájékoztatást nyújtó egyéb kapcsolattartó nevét és elérhetőségeit; </w:t>
      </w:r>
    </w:p>
    <w:p w14:paraId="4FD0DD89" w14:textId="77777777" w:rsidR="008060B6" w:rsidRDefault="002D6942">
      <w:pPr>
        <w:numPr>
          <w:ilvl w:val="3"/>
          <w:numId w:val="9"/>
        </w:numPr>
        <w:ind w:right="107" w:hanging="392"/>
      </w:pPr>
      <w:r>
        <w:t xml:space="preserve">ismertetni kell az Adatvédelmi Incidensből eredő, valószínűsíthető következményeket; </w:t>
      </w:r>
    </w:p>
    <w:p w14:paraId="1ACFC1FE" w14:textId="77777777" w:rsidR="008060B6" w:rsidRDefault="002D6942">
      <w:pPr>
        <w:numPr>
          <w:ilvl w:val="3"/>
          <w:numId w:val="9"/>
        </w:numPr>
        <w:spacing w:after="86"/>
        <w:ind w:right="107" w:hanging="392"/>
      </w:pPr>
      <w:r>
        <w:t xml:space="preserve">ismertetni kell az Adatkezelő által az Adatvédelmi Incidens orvoslására tett vagy tervezett intézkedéseket, beleértve adott esetben az Adatvédelmi Incidensből eredő esetleges hátrányos következmények enyhítését célzó intézkedéseket. </w:t>
      </w:r>
    </w:p>
    <w:p w14:paraId="2F51DA62" w14:textId="77777777" w:rsidR="008060B6" w:rsidRDefault="002D6942">
      <w:pPr>
        <w:numPr>
          <w:ilvl w:val="1"/>
          <w:numId w:val="2"/>
        </w:numPr>
        <w:spacing w:after="66"/>
        <w:ind w:left="695" w:right="107" w:hanging="579"/>
      </w:pPr>
      <w:r>
        <w:t xml:space="preserve">Ha és amennyiben nem lehetséges az </w:t>
      </w:r>
      <w:proofErr w:type="gramStart"/>
      <w:r>
        <w:t>információkat</w:t>
      </w:r>
      <w:proofErr w:type="gramEnd"/>
      <w:r>
        <w:t xml:space="preserve"> egyidejűleg közölni, azok további indokolatlan késedelem nélkül később részletekben is közölhetők. </w:t>
      </w:r>
    </w:p>
    <w:p w14:paraId="7233A269" w14:textId="77777777" w:rsidR="008060B6" w:rsidRDefault="002D6942">
      <w:pPr>
        <w:numPr>
          <w:ilvl w:val="1"/>
          <w:numId w:val="2"/>
        </w:numPr>
        <w:ind w:left="695" w:right="107" w:hanging="579"/>
      </w:pPr>
      <w:r>
        <w:t xml:space="preserve">Az Adatkezelő nyilvántartja az Adatvédelmi Incidenseket, feltüntetve az Adatvédelmi Incidenshez kapcsolódó tényeket, azok hatásait és az orvoslásukra tett intézkedéseket. Az Adatvédelmi Incidensek nyilvántartását a NAIH ellenőrzi. </w:t>
      </w:r>
    </w:p>
    <w:p w14:paraId="41EA9AEB" w14:textId="77777777" w:rsidR="008060B6" w:rsidRDefault="002D6942">
      <w:pPr>
        <w:numPr>
          <w:ilvl w:val="1"/>
          <w:numId w:val="2"/>
        </w:numPr>
        <w:spacing w:after="32"/>
        <w:ind w:left="695" w:right="107" w:hanging="579"/>
      </w:pPr>
      <w:r>
        <w:t xml:space="preserve">Az Adatfeldolgozó az Adatvédelmi Incidenst, az arról való tudomásszerzését követően indokolatlan késedelem nélkül bejelenti az Adatkezelőnek a Bejelentésre vonatkozóan jelen 6.4. Pontban foglalt tartalommal. </w:t>
      </w:r>
    </w:p>
    <w:p w14:paraId="6045FE1D" w14:textId="77777777" w:rsidR="008060B6" w:rsidRDefault="002D6942">
      <w:pPr>
        <w:spacing w:after="0" w:line="259" w:lineRule="auto"/>
        <w:ind w:left="0" w:right="0" w:firstLine="0"/>
        <w:jc w:val="left"/>
      </w:pPr>
      <w:r>
        <w:rPr>
          <w:sz w:val="22"/>
        </w:rPr>
        <w:t xml:space="preserve"> </w:t>
      </w:r>
    </w:p>
    <w:p w14:paraId="78328915" w14:textId="77777777" w:rsidR="008060B6" w:rsidRDefault="002D6942">
      <w:pPr>
        <w:spacing w:after="0" w:line="259" w:lineRule="auto"/>
        <w:ind w:left="0" w:right="0" w:firstLine="0"/>
        <w:jc w:val="left"/>
      </w:pPr>
      <w:r>
        <w:rPr>
          <w:sz w:val="20"/>
        </w:rPr>
        <w:t xml:space="preserve"> </w:t>
      </w:r>
    </w:p>
    <w:p w14:paraId="45C1CFB5" w14:textId="77777777" w:rsidR="008060B6" w:rsidRDefault="002D6942">
      <w:pPr>
        <w:numPr>
          <w:ilvl w:val="0"/>
          <w:numId w:val="2"/>
        </w:numPr>
        <w:spacing w:after="116" w:line="248" w:lineRule="auto"/>
        <w:ind w:right="100" w:hanging="567"/>
      </w:pPr>
      <w:r>
        <w:rPr>
          <w:b/>
        </w:rPr>
        <w:t xml:space="preserve">Az adatkezelési tevékenységek nyilvántartása </w:t>
      </w:r>
    </w:p>
    <w:p w14:paraId="374A2DF1" w14:textId="77777777" w:rsidR="008060B6" w:rsidRDefault="002D6942">
      <w:pPr>
        <w:numPr>
          <w:ilvl w:val="1"/>
          <w:numId w:val="2"/>
        </w:numPr>
        <w:ind w:left="695" w:right="107" w:hanging="579"/>
      </w:pPr>
      <w:r>
        <w:t xml:space="preserve">Az Adatkezelő Adatvédelmi felelőse az Adatkezelő felelősségébe tartozóan végzett adatkezelési tevékenységekről nyilvántartást vezet. </w:t>
      </w:r>
    </w:p>
    <w:p w14:paraId="33D15290" w14:textId="77777777" w:rsidR="008060B6" w:rsidRDefault="002D6942">
      <w:pPr>
        <w:numPr>
          <w:ilvl w:val="1"/>
          <w:numId w:val="2"/>
        </w:numPr>
        <w:ind w:left="695" w:right="107" w:hanging="579"/>
      </w:pPr>
      <w:r>
        <w:t xml:space="preserve">Az adatkezelési tevékenység nyilvántartás a következő </w:t>
      </w:r>
      <w:proofErr w:type="gramStart"/>
      <w:r>
        <w:t>információkat</w:t>
      </w:r>
      <w:proofErr w:type="gramEnd"/>
      <w:r>
        <w:t xml:space="preserve"> tartalmazza: </w:t>
      </w:r>
    </w:p>
    <w:p w14:paraId="00593A41" w14:textId="77777777" w:rsidR="008060B6" w:rsidRDefault="002D6942">
      <w:pPr>
        <w:numPr>
          <w:ilvl w:val="3"/>
          <w:numId w:val="10"/>
        </w:numPr>
        <w:ind w:right="107" w:hanging="428"/>
      </w:pPr>
      <w:r>
        <w:t xml:space="preserve">az Adatkezelő, mint Adatkezelő neve és elérhetősége, az Adatkezelő képviselőjének és az Adatvédelmi felelős a neve és elérhetősége; </w:t>
      </w:r>
    </w:p>
    <w:p w14:paraId="7A1C7E37" w14:textId="77777777" w:rsidR="008060B6" w:rsidRDefault="002D6942">
      <w:pPr>
        <w:numPr>
          <w:ilvl w:val="3"/>
          <w:numId w:val="10"/>
        </w:numPr>
        <w:ind w:right="107" w:hanging="428"/>
      </w:pPr>
      <w:r>
        <w:t xml:space="preserve">az Adatkezelés céljai; </w:t>
      </w:r>
    </w:p>
    <w:p w14:paraId="32230370" w14:textId="77777777" w:rsidR="008060B6" w:rsidRDefault="002D6942">
      <w:pPr>
        <w:numPr>
          <w:ilvl w:val="3"/>
          <w:numId w:val="10"/>
        </w:numPr>
        <w:ind w:right="107" w:hanging="428"/>
      </w:pPr>
      <w:r>
        <w:t xml:space="preserve">az Érintettek </w:t>
      </w:r>
      <w:proofErr w:type="gramStart"/>
      <w:r>
        <w:t>kategóriáinak</w:t>
      </w:r>
      <w:proofErr w:type="gramEnd"/>
      <w:r>
        <w:t xml:space="preserve">, valamint a Személyes Adatok kategóriáinak ismertetése; </w:t>
      </w:r>
    </w:p>
    <w:p w14:paraId="0447A081" w14:textId="77777777" w:rsidR="008060B6" w:rsidRDefault="002D6942">
      <w:pPr>
        <w:numPr>
          <w:ilvl w:val="3"/>
          <w:numId w:val="10"/>
        </w:numPr>
        <w:ind w:right="107" w:hanging="428"/>
      </w:pPr>
      <w:r>
        <w:lastRenderedPageBreak/>
        <w:t xml:space="preserve">olyan Címzettek </w:t>
      </w:r>
      <w:proofErr w:type="gramStart"/>
      <w:r>
        <w:t>kategóriái</w:t>
      </w:r>
      <w:proofErr w:type="gramEnd"/>
      <w:r>
        <w:t xml:space="preserve">, akikkel a Személyes Adatokat közlik vagy közölni fogják, ideértve a harmadik országbeli címzetteket vagy nemzetközi szervezeteket; </w:t>
      </w:r>
    </w:p>
    <w:p w14:paraId="4AE52CE9" w14:textId="77777777" w:rsidR="008060B6" w:rsidRDefault="002D6942">
      <w:pPr>
        <w:numPr>
          <w:ilvl w:val="3"/>
          <w:numId w:val="10"/>
        </w:numPr>
        <w:ind w:right="107" w:hanging="428"/>
      </w:pPr>
      <w:r>
        <w:t xml:space="preserve">adott esetben a személyes adatok harmadik országba vagy nemzetközi szervezet részére történő továbbítására vonatkozó </w:t>
      </w:r>
      <w:proofErr w:type="gramStart"/>
      <w:r>
        <w:t>információk</w:t>
      </w:r>
      <w:proofErr w:type="gramEnd"/>
      <w:r>
        <w:t xml:space="preserve">, beleértve a harmadik ország vagy a nemzetközi szervezet azonosítását, valamint a Rendelet 49. cikke (1) bekezdésének második </w:t>
      </w:r>
      <w:proofErr w:type="spellStart"/>
      <w:r>
        <w:t>albekezdés</w:t>
      </w:r>
      <w:proofErr w:type="spellEnd"/>
      <w:r>
        <w:t xml:space="preserve"> szerinti továbbítás esetében a megfelelő garanciák leírása; </w:t>
      </w:r>
    </w:p>
    <w:p w14:paraId="54F8BB63" w14:textId="77777777" w:rsidR="008060B6" w:rsidRDefault="002D6942">
      <w:pPr>
        <w:numPr>
          <w:ilvl w:val="3"/>
          <w:numId w:val="10"/>
        </w:numPr>
        <w:ind w:right="107" w:hanging="428"/>
      </w:pPr>
      <w:r>
        <w:t xml:space="preserve">a különböző adatkategóriák törlésére előirányzott határidők; </w:t>
      </w:r>
    </w:p>
    <w:p w14:paraId="6539AF83" w14:textId="77777777" w:rsidR="008060B6" w:rsidRDefault="002D6942">
      <w:pPr>
        <w:numPr>
          <w:ilvl w:val="3"/>
          <w:numId w:val="10"/>
        </w:numPr>
        <w:ind w:right="107" w:hanging="428"/>
      </w:pPr>
      <w:r>
        <w:t xml:space="preserve">az adatkezelés biztonságával kapcsolatos technikai és szervezési intézkedések általános leírása. </w:t>
      </w:r>
    </w:p>
    <w:p w14:paraId="710F19AA" w14:textId="77777777" w:rsidR="008060B6" w:rsidRDefault="002D6942">
      <w:pPr>
        <w:numPr>
          <w:ilvl w:val="1"/>
          <w:numId w:val="2"/>
        </w:numPr>
        <w:ind w:left="695" w:right="107" w:hanging="579"/>
      </w:pPr>
      <w:r>
        <w:t xml:space="preserve">Az Adatkezelő vagy az Adatkezelő képviselője megkeresés alapján a NAIH részére rendelkezésére bocsátja a nyilvántartást. </w:t>
      </w:r>
    </w:p>
    <w:sectPr w:rsidR="008060B6">
      <w:footerReference w:type="even" r:id="rId13"/>
      <w:footerReference w:type="default" r:id="rId14"/>
      <w:footerReference w:type="first" r:id="rId15"/>
      <w:pgSz w:w="11906" w:h="16838"/>
      <w:pgMar w:top="1319" w:right="1282" w:bottom="1238" w:left="1311" w:header="708" w:footer="89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67F12B" w16cex:dateUtc="2026-05-15T10:59:00Z"/>
  <w16cex:commentExtensible w16cex:durableId="18C966D2" w16cex:dateUtc="2026-05-15T11:05:00Z"/>
  <w16cex:commentExtensible w16cex:durableId="1AC81218" w16cex:dateUtc="2026-05-15T11:29:00Z"/>
  <w16cex:commentExtensible w16cex:durableId="75198CD6" w16cex:dateUtc="2026-05-15T11:32:00Z"/>
  <w16cex:commentExtensible w16cex:durableId="24A090E8" w16cex:dateUtc="2026-05-15T11:34:00Z"/>
  <w16cex:commentExtensible w16cex:durableId="0D890181" w16cex:dateUtc="2026-05-15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646038" w16cid:durableId="4267F12B"/>
  <w16cid:commentId w16cid:paraId="000C24FD" w16cid:durableId="18C966D2"/>
  <w16cid:commentId w16cid:paraId="67458F1D" w16cid:durableId="1AC81218"/>
  <w16cid:commentId w16cid:paraId="2782CCF6" w16cid:durableId="75198CD6"/>
  <w16cid:commentId w16cid:paraId="38109097" w16cid:durableId="24A090E8"/>
  <w16cid:commentId w16cid:paraId="0FCCCA20" w16cid:durableId="0D89018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43F59" w14:textId="77777777" w:rsidR="000E52F0" w:rsidRDefault="000E52F0">
      <w:pPr>
        <w:spacing w:after="0" w:line="240" w:lineRule="auto"/>
      </w:pPr>
      <w:r>
        <w:separator/>
      </w:r>
    </w:p>
  </w:endnote>
  <w:endnote w:type="continuationSeparator" w:id="0">
    <w:p w14:paraId="135535D6" w14:textId="77777777" w:rsidR="000E52F0" w:rsidRDefault="000E5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873CB" w14:textId="77777777" w:rsidR="009E541B" w:rsidRDefault="009E541B">
    <w:pPr>
      <w:tabs>
        <w:tab w:val="center" w:pos="4654"/>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2D1D9" w14:textId="35AAADBE" w:rsidR="009E541B" w:rsidRDefault="009E541B">
    <w:pPr>
      <w:tabs>
        <w:tab w:val="center" w:pos="4654"/>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sidR="0009221E">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75BDE" w14:textId="77777777" w:rsidR="009E541B" w:rsidRDefault="009E541B">
    <w:pPr>
      <w:tabs>
        <w:tab w:val="center" w:pos="4654"/>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05FA5" w14:textId="77777777" w:rsidR="000E52F0" w:rsidRDefault="000E52F0">
      <w:pPr>
        <w:spacing w:after="0" w:line="240" w:lineRule="auto"/>
      </w:pPr>
      <w:r>
        <w:separator/>
      </w:r>
    </w:p>
  </w:footnote>
  <w:footnote w:type="continuationSeparator" w:id="0">
    <w:p w14:paraId="678B7650" w14:textId="77777777" w:rsidR="000E52F0" w:rsidRDefault="000E5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F4BBB"/>
    <w:multiLevelType w:val="hybridMultilevel"/>
    <w:tmpl w:val="F050D30C"/>
    <w:lvl w:ilvl="0" w:tplc="30A0E0F0">
      <w:start w:val="1"/>
      <w:numFmt w:val="lowerLetter"/>
      <w:lvlText w:val="(%1)"/>
      <w:lvlJc w:val="left"/>
      <w:pPr>
        <w:ind w:left="10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FD74D170">
      <w:start w:val="1"/>
      <w:numFmt w:val="lowerLetter"/>
      <w:lvlText w:val="%2"/>
      <w:lvlJc w:val="left"/>
      <w:pPr>
        <w:ind w:left="179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4768F3B8">
      <w:start w:val="1"/>
      <w:numFmt w:val="lowerRoman"/>
      <w:lvlText w:val="%3"/>
      <w:lvlJc w:val="left"/>
      <w:pPr>
        <w:ind w:left="251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1F06308">
      <w:start w:val="1"/>
      <w:numFmt w:val="decimal"/>
      <w:lvlText w:val="%4"/>
      <w:lvlJc w:val="left"/>
      <w:pPr>
        <w:ind w:left="323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C68BFE0">
      <w:start w:val="1"/>
      <w:numFmt w:val="lowerLetter"/>
      <w:lvlText w:val="%5"/>
      <w:lvlJc w:val="left"/>
      <w:pPr>
        <w:ind w:left="395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ACC6B516">
      <w:start w:val="1"/>
      <w:numFmt w:val="lowerRoman"/>
      <w:lvlText w:val="%6"/>
      <w:lvlJc w:val="left"/>
      <w:pPr>
        <w:ind w:left="467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01A3E1E">
      <w:start w:val="1"/>
      <w:numFmt w:val="decimal"/>
      <w:lvlText w:val="%7"/>
      <w:lvlJc w:val="left"/>
      <w:pPr>
        <w:ind w:left="539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A84B2C2">
      <w:start w:val="1"/>
      <w:numFmt w:val="lowerLetter"/>
      <w:lvlText w:val="%8"/>
      <w:lvlJc w:val="left"/>
      <w:pPr>
        <w:ind w:left="611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6CD6C91C">
      <w:start w:val="1"/>
      <w:numFmt w:val="lowerRoman"/>
      <w:lvlText w:val="%9"/>
      <w:lvlJc w:val="left"/>
      <w:pPr>
        <w:ind w:left="683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27A68D1"/>
    <w:multiLevelType w:val="hybridMultilevel"/>
    <w:tmpl w:val="B2CA5B86"/>
    <w:lvl w:ilvl="0" w:tplc="9884A882">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FFF4FEC4">
      <w:start w:val="1"/>
      <w:numFmt w:val="lowerLetter"/>
      <w:lvlText w:val="%2"/>
      <w:lvlJc w:val="left"/>
      <w:pPr>
        <w:ind w:left="5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8F2B90E">
      <w:start w:val="1"/>
      <w:numFmt w:val="lowerRoman"/>
      <w:lvlText w:val="%3"/>
      <w:lvlJc w:val="left"/>
      <w:pPr>
        <w:ind w:left="81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FBBADA22">
      <w:start w:val="1"/>
      <w:numFmt w:val="lowerLetter"/>
      <w:lvlRestart w:val="0"/>
      <w:lvlText w:val="(%4)"/>
      <w:lvlJc w:val="left"/>
      <w:pPr>
        <w:ind w:left="113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C720AD26">
      <w:start w:val="1"/>
      <w:numFmt w:val="lowerLetter"/>
      <w:lvlText w:val="%5"/>
      <w:lvlJc w:val="left"/>
      <w:pPr>
        <w:ind w:left="176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1625060">
      <w:start w:val="1"/>
      <w:numFmt w:val="lowerRoman"/>
      <w:lvlText w:val="%6"/>
      <w:lvlJc w:val="left"/>
      <w:pPr>
        <w:ind w:left="248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278D6CC">
      <w:start w:val="1"/>
      <w:numFmt w:val="decimal"/>
      <w:lvlText w:val="%7"/>
      <w:lvlJc w:val="left"/>
      <w:pPr>
        <w:ind w:left="320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F72606E8">
      <w:start w:val="1"/>
      <w:numFmt w:val="lowerLetter"/>
      <w:lvlText w:val="%8"/>
      <w:lvlJc w:val="left"/>
      <w:pPr>
        <w:ind w:left="392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B905B4A">
      <w:start w:val="1"/>
      <w:numFmt w:val="lowerRoman"/>
      <w:lvlText w:val="%9"/>
      <w:lvlJc w:val="left"/>
      <w:pPr>
        <w:ind w:left="464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76652C3"/>
    <w:multiLevelType w:val="hybridMultilevel"/>
    <w:tmpl w:val="A8CC0BAE"/>
    <w:lvl w:ilvl="0" w:tplc="8A64A8D0">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FACBBD6">
      <w:start w:val="1"/>
      <w:numFmt w:val="lowerLetter"/>
      <w:lvlText w:val="%2"/>
      <w:lvlJc w:val="left"/>
      <w:pPr>
        <w:ind w:left="5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7BC2342">
      <w:start w:val="1"/>
      <w:numFmt w:val="lowerRoman"/>
      <w:lvlText w:val="%3"/>
      <w:lvlJc w:val="left"/>
      <w:pPr>
        <w:ind w:left="81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199E28E6">
      <w:start w:val="1"/>
      <w:numFmt w:val="lowerLetter"/>
      <w:lvlRestart w:val="0"/>
      <w:lvlText w:val="(%4)"/>
      <w:lvlJc w:val="left"/>
      <w:pPr>
        <w:ind w:left="113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1B0ED8E">
      <w:start w:val="1"/>
      <w:numFmt w:val="lowerLetter"/>
      <w:lvlText w:val="%5"/>
      <w:lvlJc w:val="left"/>
      <w:pPr>
        <w:ind w:left="176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79CE2B2">
      <w:start w:val="1"/>
      <w:numFmt w:val="lowerRoman"/>
      <w:lvlText w:val="%6"/>
      <w:lvlJc w:val="left"/>
      <w:pPr>
        <w:ind w:left="248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EFEA154">
      <w:start w:val="1"/>
      <w:numFmt w:val="decimal"/>
      <w:lvlText w:val="%7"/>
      <w:lvlJc w:val="left"/>
      <w:pPr>
        <w:ind w:left="320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B5E7560">
      <w:start w:val="1"/>
      <w:numFmt w:val="lowerLetter"/>
      <w:lvlText w:val="%8"/>
      <w:lvlJc w:val="left"/>
      <w:pPr>
        <w:ind w:left="392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61F8DD7E">
      <w:start w:val="1"/>
      <w:numFmt w:val="lowerRoman"/>
      <w:lvlText w:val="%9"/>
      <w:lvlJc w:val="left"/>
      <w:pPr>
        <w:ind w:left="464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FB058AE"/>
    <w:multiLevelType w:val="hybridMultilevel"/>
    <w:tmpl w:val="A7FE49C8"/>
    <w:lvl w:ilvl="0" w:tplc="CA746C7C">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2AA3D82">
      <w:start w:val="1"/>
      <w:numFmt w:val="bullet"/>
      <w:lvlText w:val="o"/>
      <w:lvlJc w:val="left"/>
      <w:pPr>
        <w:ind w:left="65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6CE4F36">
      <w:start w:val="1"/>
      <w:numFmt w:val="bullet"/>
      <w:lvlText w:val="▪"/>
      <w:lvlJc w:val="left"/>
      <w:pPr>
        <w:ind w:left="95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CF20B2A">
      <w:start w:val="1"/>
      <w:numFmt w:val="bullet"/>
      <w:lvlText w:val="•"/>
      <w:lvlJc w:val="left"/>
      <w:pPr>
        <w:ind w:left="1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F2C72CA">
      <w:start w:val="1"/>
      <w:numFmt w:val="bullet"/>
      <w:lvlRestart w:val="0"/>
      <w:lvlText w:val="•"/>
      <w:lvlJc w:val="left"/>
      <w:pPr>
        <w:ind w:left="19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2B069B2">
      <w:start w:val="1"/>
      <w:numFmt w:val="bullet"/>
      <w:lvlText w:val="▪"/>
      <w:lvlJc w:val="left"/>
      <w:pPr>
        <w:ind w:left="227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BFA67E0">
      <w:start w:val="1"/>
      <w:numFmt w:val="bullet"/>
      <w:lvlText w:val="•"/>
      <w:lvlJc w:val="left"/>
      <w:pPr>
        <w:ind w:left="2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5465ACE">
      <w:start w:val="1"/>
      <w:numFmt w:val="bullet"/>
      <w:lvlText w:val="o"/>
      <w:lvlJc w:val="left"/>
      <w:pPr>
        <w:ind w:left="371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C9E4BAC">
      <w:start w:val="1"/>
      <w:numFmt w:val="bullet"/>
      <w:lvlText w:val="▪"/>
      <w:lvlJc w:val="left"/>
      <w:pPr>
        <w:ind w:left="443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1DD6171"/>
    <w:multiLevelType w:val="hybridMultilevel"/>
    <w:tmpl w:val="D2FA45FC"/>
    <w:lvl w:ilvl="0" w:tplc="32BCAA32">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50CB2D2">
      <w:start w:val="1"/>
      <w:numFmt w:val="bullet"/>
      <w:lvlText w:val="o"/>
      <w:lvlJc w:val="left"/>
      <w:pPr>
        <w:ind w:left="65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2B68004">
      <w:start w:val="1"/>
      <w:numFmt w:val="bullet"/>
      <w:lvlText w:val="▪"/>
      <w:lvlJc w:val="left"/>
      <w:pPr>
        <w:ind w:left="9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E5EC682">
      <w:start w:val="1"/>
      <w:numFmt w:val="bullet"/>
      <w:lvlText w:val="•"/>
      <w:lvlJc w:val="left"/>
      <w:pPr>
        <w:ind w:left="1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DD0F392">
      <w:start w:val="1"/>
      <w:numFmt w:val="bullet"/>
      <w:lvlText w:val="o"/>
      <w:lvlJc w:val="left"/>
      <w:pPr>
        <w:ind w:left="153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15AA35E">
      <w:start w:val="1"/>
      <w:numFmt w:val="bullet"/>
      <w:lvlRestart w:val="0"/>
      <w:lvlText w:val="•"/>
      <w:lvlJc w:val="left"/>
      <w:pPr>
        <w:ind w:left="18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1FAC4EC">
      <w:start w:val="1"/>
      <w:numFmt w:val="bullet"/>
      <w:lvlText w:val="•"/>
      <w:lvlJc w:val="left"/>
      <w:pPr>
        <w:ind w:left="25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10C63D8">
      <w:start w:val="1"/>
      <w:numFmt w:val="bullet"/>
      <w:lvlText w:val="o"/>
      <w:lvlJc w:val="left"/>
      <w:pPr>
        <w:ind w:left="32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C14C26A">
      <w:start w:val="1"/>
      <w:numFmt w:val="bullet"/>
      <w:lvlText w:val="▪"/>
      <w:lvlJc w:val="left"/>
      <w:pPr>
        <w:ind w:left="39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A1F1BAE"/>
    <w:multiLevelType w:val="hybridMultilevel"/>
    <w:tmpl w:val="23863D3E"/>
    <w:lvl w:ilvl="0" w:tplc="E34C54FE">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958A25E">
      <w:start w:val="1"/>
      <w:numFmt w:val="lowerLetter"/>
      <w:lvlText w:val="%2"/>
      <w:lvlJc w:val="left"/>
      <w:pPr>
        <w:ind w:left="63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8F3449F2">
      <w:start w:val="1"/>
      <w:numFmt w:val="lowerRoman"/>
      <w:lvlText w:val="%3"/>
      <w:lvlJc w:val="left"/>
      <w:pPr>
        <w:ind w:left="90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1E54F658">
      <w:start w:val="1"/>
      <w:numFmt w:val="lowerLetter"/>
      <w:lvlText w:val="(%4)"/>
      <w:lvlJc w:val="left"/>
      <w:pPr>
        <w:ind w:left="124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E28D5AA">
      <w:start w:val="1"/>
      <w:numFmt w:val="lowerLetter"/>
      <w:lvlText w:val="%5"/>
      <w:lvlJc w:val="left"/>
      <w:pPr>
        <w:ind w:left="190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D886F58">
      <w:start w:val="1"/>
      <w:numFmt w:val="lowerRoman"/>
      <w:lvlText w:val="%6"/>
      <w:lvlJc w:val="left"/>
      <w:pPr>
        <w:ind w:left="262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F7CE44A4">
      <w:start w:val="1"/>
      <w:numFmt w:val="decimal"/>
      <w:lvlText w:val="%7"/>
      <w:lvlJc w:val="left"/>
      <w:pPr>
        <w:ind w:left="334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A123EDC">
      <w:start w:val="1"/>
      <w:numFmt w:val="lowerLetter"/>
      <w:lvlText w:val="%8"/>
      <w:lvlJc w:val="left"/>
      <w:pPr>
        <w:ind w:left="406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490DF08">
      <w:start w:val="1"/>
      <w:numFmt w:val="lowerRoman"/>
      <w:lvlText w:val="%9"/>
      <w:lvlJc w:val="left"/>
      <w:pPr>
        <w:ind w:left="478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0200633"/>
    <w:multiLevelType w:val="hybridMultilevel"/>
    <w:tmpl w:val="209093E4"/>
    <w:lvl w:ilvl="0" w:tplc="FCA861A2">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F6EAFF9A">
      <w:start w:val="1"/>
      <w:numFmt w:val="lowerLetter"/>
      <w:lvlText w:val="%2"/>
      <w:lvlJc w:val="left"/>
      <w:pPr>
        <w:ind w:left="59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A8629C2">
      <w:start w:val="1"/>
      <w:numFmt w:val="lowerRoman"/>
      <w:lvlText w:val="%3"/>
      <w:lvlJc w:val="left"/>
      <w:pPr>
        <w:ind w:left="83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6BC618C0">
      <w:start w:val="1"/>
      <w:numFmt w:val="lowerLetter"/>
      <w:lvlRestart w:val="0"/>
      <w:lvlText w:val="(%4)"/>
      <w:lvlJc w:val="left"/>
      <w:pPr>
        <w:ind w:left="10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E3168514">
      <w:start w:val="1"/>
      <w:numFmt w:val="lowerLetter"/>
      <w:lvlText w:val="%5"/>
      <w:lvlJc w:val="left"/>
      <w:pPr>
        <w:ind w:left="179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738B0C2">
      <w:start w:val="1"/>
      <w:numFmt w:val="lowerRoman"/>
      <w:lvlText w:val="%6"/>
      <w:lvlJc w:val="left"/>
      <w:pPr>
        <w:ind w:left="251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FF84912">
      <w:start w:val="1"/>
      <w:numFmt w:val="decimal"/>
      <w:lvlText w:val="%7"/>
      <w:lvlJc w:val="left"/>
      <w:pPr>
        <w:ind w:left="323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594BA7A">
      <w:start w:val="1"/>
      <w:numFmt w:val="lowerLetter"/>
      <w:lvlText w:val="%8"/>
      <w:lvlJc w:val="left"/>
      <w:pPr>
        <w:ind w:left="395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796CC196">
      <w:start w:val="1"/>
      <w:numFmt w:val="lowerRoman"/>
      <w:lvlText w:val="%9"/>
      <w:lvlJc w:val="left"/>
      <w:pPr>
        <w:ind w:left="467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645604E5"/>
    <w:multiLevelType w:val="hybridMultilevel"/>
    <w:tmpl w:val="E324884E"/>
    <w:lvl w:ilvl="0" w:tplc="B35683A0">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F9142A52">
      <w:start w:val="1"/>
      <w:numFmt w:val="lowerLetter"/>
      <w:lvlText w:val="%2"/>
      <w:lvlJc w:val="left"/>
      <w:pPr>
        <w:ind w:left="59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1367892">
      <w:start w:val="1"/>
      <w:numFmt w:val="lowerRoman"/>
      <w:lvlText w:val="%3"/>
      <w:lvlJc w:val="left"/>
      <w:pPr>
        <w:ind w:left="83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F32FF28">
      <w:start w:val="1"/>
      <w:numFmt w:val="lowerLetter"/>
      <w:lvlRestart w:val="0"/>
      <w:lvlText w:val="(%4)"/>
      <w:lvlJc w:val="left"/>
      <w:pPr>
        <w:ind w:left="10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944CD46">
      <w:start w:val="1"/>
      <w:numFmt w:val="lowerLetter"/>
      <w:lvlText w:val="%5"/>
      <w:lvlJc w:val="left"/>
      <w:pPr>
        <w:ind w:left="179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EA2AF2E">
      <w:start w:val="1"/>
      <w:numFmt w:val="lowerRoman"/>
      <w:lvlText w:val="%6"/>
      <w:lvlJc w:val="left"/>
      <w:pPr>
        <w:ind w:left="251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6505274">
      <w:start w:val="1"/>
      <w:numFmt w:val="decimal"/>
      <w:lvlText w:val="%7"/>
      <w:lvlJc w:val="left"/>
      <w:pPr>
        <w:ind w:left="323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A1408C62">
      <w:start w:val="1"/>
      <w:numFmt w:val="lowerLetter"/>
      <w:lvlText w:val="%8"/>
      <w:lvlJc w:val="left"/>
      <w:pPr>
        <w:ind w:left="395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2DEF792">
      <w:start w:val="1"/>
      <w:numFmt w:val="lowerRoman"/>
      <w:lvlText w:val="%9"/>
      <w:lvlJc w:val="left"/>
      <w:pPr>
        <w:ind w:left="467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64C93AAF"/>
    <w:multiLevelType w:val="hybridMultilevel"/>
    <w:tmpl w:val="18D06232"/>
    <w:lvl w:ilvl="0" w:tplc="93A6E018">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94BA0D44">
      <w:start w:val="1"/>
      <w:numFmt w:val="lowerLetter"/>
      <w:lvlText w:val="%2"/>
      <w:lvlJc w:val="left"/>
      <w:pPr>
        <w:ind w:left="59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EAE93C6">
      <w:start w:val="1"/>
      <w:numFmt w:val="lowerRoman"/>
      <w:lvlText w:val="%3"/>
      <w:lvlJc w:val="left"/>
      <w:pPr>
        <w:ind w:left="83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126ABDA">
      <w:start w:val="1"/>
      <w:numFmt w:val="lowerLetter"/>
      <w:lvlRestart w:val="0"/>
      <w:lvlText w:val="(%4)"/>
      <w:lvlJc w:val="left"/>
      <w:pPr>
        <w:ind w:left="10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37BA2A8A">
      <w:start w:val="1"/>
      <w:numFmt w:val="lowerLetter"/>
      <w:lvlText w:val="%5"/>
      <w:lvlJc w:val="left"/>
      <w:pPr>
        <w:ind w:left="179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0946D9E">
      <w:start w:val="1"/>
      <w:numFmt w:val="lowerRoman"/>
      <w:lvlText w:val="%6"/>
      <w:lvlJc w:val="left"/>
      <w:pPr>
        <w:ind w:left="251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E2A04F4">
      <w:start w:val="1"/>
      <w:numFmt w:val="decimal"/>
      <w:lvlText w:val="%7"/>
      <w:lvlJc w:val="left"/>
      <w:pPr>
        <w:ind w:left="323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41A81CA8">
      <w:start w:val="1"/>
      <w:numFmt w:val="lowerLetter"/>
      <w:lvlText w:val="%8"/>
      <w:lvlJc w:val="left"/>
      <w:pPr>
        <w:ind w:left="395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BC6ACA44">
      <w:start w:val="1"/>
      <w:numFmt w:val="lowerRoman"/>
      <w:lvlText w:val="%9"/>
      <w:lvlJc w:val="left"/>
      <w:pPr>
        <w:ind w:left="467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7A89284D"/>
    <w:multiLevelType w:val="multilevel"/>
    <w:tmpl w:val="8566095C"/>
    <w:lvl w:ilvl="0">
      <w:start w:val="2"/>
      <w:numFmt w:val="decimal"/>
      <w:lvlText w:val="%1"/>
      <w:lvlJc w:val="left"/>
      <w:pPr>
        <w:ind w:left="667"/>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69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decimal"/>
      <w:lvlText w:val="%1.%2.%3"/>
      <w:lvlJc w:val="left"/>
      <w:pPr>
        <w:ind w:left="82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lowerLetter"/>
      <w:lvlText w:val="(%4)"/>
      <w:lvlJc w:val="left"/>
      <w:pPr>
        <w:ind w:left="113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190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62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34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06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478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9"/>
  </w:num>
  <w:num w:numId="3">
    <w:abstractNumId w:val="6"/>
  </w:num>
  <w:num w:numId="4">
    <w:abstractNumId w:val="3"/>
  </w:num>
  <w:num w:numId="5">
    <w:abstractNumId w:val="4"/>
  </w:num>
  <w:num w:numId="6">
    <w:abstractNumId w:val="5"/>
  </w:num>
  <w:num w:numId="7">
    <w:abstractNumId w:val="7"/>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0B6"/>
    <w:rsid w:val="00052F6D"/>
    <w:rsid w:val="00064467"/>
    <w:rsid w:val="00074200"/>
    <w:rsid w:val="0009221E"/>
    <w:rsid w:val="000E52F0"/>
    <w:rsid w:val="00117966"/>
    <w:rsid w:val="00181E0E"/>
    <w:rsid w:val="002D6942"/>
    <w:rsid w:val="004F16D0"/>
    <w:rsid w:val="005A3F85"/>
    <w:rsid w:val="005C398E"/>
    <w:rsid w:val="005C7DF7"/>
    <w:rsid w:val="005E2E24"/>
    <w:rsid w:val="006008EB"/>
    <w:rsid w:val="00624050"/>
    <w:rsid w:val="00781F46"/>
    <w:rsid w:val="008060B6"/>
    <w:rsid w:val="00821E22"/>
    <w:rsid w:val="009B51E8"/>
    <w:rsid w:val="009E541B"/>
    <w:rsid w:val="00A01F17"/>
    <w:rsid w:val="00B84267"/>
    <w:rsid w:val="00BA1B8A"/>
    <w:rsid w:val="00CF49EB"/>
    <w:rsid w:val="00D62F2A"/>
    <w:rsid w:val="00DD672A"/>
    <w:rsid w:val="00EF363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78A6"/>
  <w15:docId w15:val="{17B94E1F-1B00-4C57-A54F-9A55DA78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110" w:line="247" w:lineRule="auto"/>
      <w:ind w:left="702" w:right="112" w:hanging="10"/>
      <w:jc w:val="both"/>
    </w:pPr>
    <w:rPr>
      <w:rFonts w:ascii="Verdana" w:eastAsia="Verdana" w:hAnsi="Verdana" w:cs="Verdana"/>
      <w:color w:val="000000"/>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BA1B8A"/>
    <w:rPr>
      <w:sz w:val="16"/>
      <w:szCs w:val="16"/>
    </w:rPr>
  </w:style>
  <w:style w:type="paragraph" w:styleId="Jegyzetszveg">
    <w:name w:val="annotation text"/>
    <w:basedOn w:val="Norml"/>
    <w:link w:val="JegyzetszvegChar"/>
    <w:uiPriority w:val="99"/>
    <w:unhideWhenUsed/>
    <w:rsid w:val="00BA1B8A"/>
    <w:pPr>
      <w:spacing w:line="240" w:lineRule="auto"/>
    </w:pPr>
    <w:rPr>
      <w:sz w:val="20"/>
      <w:szCs w:val="20"/>
    </w:rPr>
  </w:style>
  <w:style w:type="character" w:customStyle="1" w:styleId="JegyzetszvegChar">
    <w:name w:val="Jegyzetszöveg Char"/>
    <w:basedOn w:val="Bekezdsalapbettpusa"/>
    <w:link w:val="Jegyzetszveg"/>
    <w:uiPriority w:val="99"/>
    <w:rsid w:val="00BA1B8A"/>
    <w:rPr>
      <w:rFonts w:ascii="Verdana" w:eastAsia="Verdana" w:hAnsi="Verdana" w:cs="Verdana"/>
      <w:color w:val="000000"/>
      <w:sz w:val="20"/>
      <w:szCs w:val="20"/>
    </w:rPr>
  </w:style>
  <w:style w:type="paragraph" w:styleId="Megjegyzstrgya">
    <w:name w:val="annotation subject"/>
    <w:basedOn w:val="Jegyzetszveg"/>
    <w:next w:val="Jegyzetszveg"/>
    <w:link w:val="MegjegyzstrgyaChar"/>
    <w:uiPriority w:val="99"/>
    <w:semiHidden/>
    <w:unhideWhenUsed/>
    <w:rsid w:val="00BA1B8A"/>
    <w:rPr>
      <w:b/>
      <w:bCs/>
    </w:rPr>
  </w:style>
  <w:style w:type="character" w:customStyle="1" w:styleId="MegjegyzstrgyaChar">
    <w:name w:val="Megjegyzés tárgya Char"/>
    <w:basedOn w:val="JegyzetszvegChar"/>
    <w:link w:val="Megjegyzstrgya"/>
    <w:uiPriority w:val="99"/>
    <w:semiHidden/>
    <w:rsid w:val="00BA1B8A"/>
    <w:rPr>
      <w:rFonts w:ascii="Verdana" w:eastAsia="Verdana" w:hAnsi="Verdana" w:cs="Verdana"/>
      <w:b/>
      <w:bCs/>
      <w:color w:val="000000"/>
      <w:sz w:val="20"/>
      <w:szCs w:val="20"/>
    </w:rPr>
  </w:style>
  <w:style w:type="paragraph" w:styleId="Vltozat">
    <w:name w:val="Revision"/>
    <w:hidden/>
    <w:uiPriority w:val="99"/>
    <w:semiHidden/>
    <w:rsid w:val="00181E0E"/>
    <w:pPr>
      <w:spacing w:after="0" w:line="240" w:lineRule="auto"/>
    </w:pPr>
    <w:rPr>
      <w:rFonts w:ascii="Verdana" w:eastAsia="Verdana" w:hAnsi="Verdana" w:cs="Verdana"/>
      <w:color w:val="000000"/>
      <w:sz w:val="18"/>
    </w:rPr>
  </w:style>
  <w:style w:type="character" w:styleId="Hiperhivatkozs">
    <w:name w:val="Hyperlink"/>
    <w:basedOn w:val="Bekezdsalapbettpusa"/>
    <w:uiPriority w:val="99"/>
    <w:unhideWhenUsed/>
    <w:rsid w:val="005C398E"/>
    <w:rPr>
      <w:color w:val="467886" w:themeColor="hyperlink"/>
      <w:u w:val="single"/>
    </w:rPr>
  </w:style>
  <w:style w:type="paragraph" w:styleId="Buborkszveg">
    <w:name w:val="Balloon Text"/>
    <w:basedOn w:val="Norml"/>
    <w:link w:val="BuborkszvegChar"/>
    <w:uiPriority w:val="99"/>
    <w:semiHidden/>
    <w:unhideWhenUsed/>
    <w:rsid w:val="005C398E"/>
    <w:pPr>
      <w:spacing w:after="0" w:line="240" w:lineRule="auto"/>
    </w:pPr>
    <w:rPr>
      <w:rFonts w:ascii="Segoe UI" w:hAnsi="Segoe UI" w:cs="Segoe UI"/>
      <w:szCs w:val="18"/>
    </w:rPr>
  </w:style>
  <w:style w:type="character" w:customStyle="1" w:styleId="BuborkszvegChar">
    <w:name w:val="Buborékszöveg Char"/>
    <w:basedOn w:val="Bekezdsalapbettpusa"/>
    <w:link w:val="Buborkszveg"/>
    <w:uiPriority w:val="99"/>
    <w:semiHidden/>
    <w:rsid w:val="005C398E"/>
    <w:rPr>
      <w:rFonts w:ascii="Segoe UI" w:eastAsia="Verdan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94041">
      <w:bodyDiv w:val="1"/>
      <w:marLeft w:val="0"/>
      <w:marRight w:val="0"/>
      <w:marTop w:val="0"/>
      <w:marBottom w:val="0"/>
      <w:divBdr>
        <w:top w:val="none" w:sz="0" w:space="0" w:color="auto"/>
        <w:left w:val="none" w:sz="0" w:space="0" w:color="auto"/>
        <w:bottom w:val="none" w:sz="0" w:space="0" w:color="auto"/>
        <w:right w:val="none" w:sz="0" w:space="0" w:color="auto"/>
      </w:divBdr>
      <w:divsChild>
        <w:div w:id="2006785795">
          <w:marLeft w:val="0"/>
          <w:marRight w:val="0"/>
          <w:marTop w:val="0"/>
          <w:marBottom w:val="0"/>
          <w:divBdr>
            <w:top w:val="none" w:sz="0" w:space="0" w:color="auto"/>
            <w:left w:val="none" w:sz="0" w:space="0" w:color="auto"/>
            <w:bottom w:val="none" w:sz="0" w:space="0" w:color="auto"/>
            <w:right w:val="none" w:sz="0" w:space="0" w:color="auto"/>
          </w:divBdr>
        </w:div>
        <w:div w:id="1262295860">
          <w:marLeft w:val="0"/>
          <w:marRight w:val="0"/>
          <w:marTop w:val="0"/>
          <w:marBottom w:val="0"/>
          <w:divBdr>
            <w:top w:val="none" w:sz="0" w:space="0" w:color="auto"/>
            <w:left w:val="none" w:sz="0" w:space="0" w:color="auto"/>
            <w:bottom w:val="none" w:sz="0" w:space="0" w:color="auto"/>
            <w:right w:val="none" w:sz="0" w:space="0" w:color="auto"/>
          </w:divBdr>
        </w:div>
      </w:divsChild>
    </w:div>
    <w:div w:id="858159616">
      <w:bodyDiv w:val="1"/>
      <w:marLeft w:val="0"/>
      <w:marRight w:val="0"/>
      <w:marTop w:val="0"/>
      <w:marBottom w:val="0"/>
      <w:divBdr>
        <w:top w:val="none" w:sz="0" w:space="0" w:color="auto"/>
        <w:left w:val="none" w:sz="0" w:space="0" w:color="auto"/>
        <w:bottom w:val="none" w:sz="0" w:space="0" w:color="auto"/>
        <w:right w:val="none" w:sz="0" w:space="0" w:color="auto"/>
      </w:divBdr>
    </w:div>
    <w:div w:id="1443111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cruxventures.hu"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info@cruxventures.hu" TargetMode="External"/><Relationship Id="rId12" Type="http://schemas.openxmlformats.org/officeDocument/2006/relationships/hyperlink" Target="http://birosag.hu/torvenyszeke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rosag.hu/torvenyszekek"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birosag.hu/torvenyszekek"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info@cruxventures.hu" TargetMode="External"/><Relationship Id="rId14"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2680</Words>
  <Characters>18497</Characters>
  <Application>Microsoft Office Word</Application>
  <DocSecurity>0</DocSecurity>
  <Lines>154</Lines>
  <Paragraphs>42</Paragraphs>
  <ScaleCrop>false</ScaleCrop>
  <HeadingPairs>
    <vt:vector size="2" baseType="variant">
      <vt:variant>
        <vt:lpstr>Cím</vt:lpstr>
      </vt:variant>
      <vt:variant>
        <vt:i4>1</vt:i4>
      </vt:variant>
    </vt:vector>
  </HeadingPairs>
  <TitlesOfParts>
    <vt:vector size="1" baseType="lpstr">
      <vt:lpstr>Adatkezelési Tájékoztató Fund-AX 20250320</vt:lpstr>
    </vt:vector>
  </TitlesOfParts>
  <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Tájékoztató Fund-AX 20250320</dc:title>
  <dc:subject/>
  <dc:creator>Masa Zoltán</dc:creator>
  <cp:keywords/>
  <cp:lastModifiedBy>Dr. Tóth Angelika</cp:lastModifiedBy>
  <cp:revision>4</cp:revision>
  <dcterms:created xsi:type="dcterms:W3CDTF">2026-05-20T09:33:00Z</dcterms:created>
  <dcterms:modified xsi:type="dcterms:W3CDTF">2026-06-03T13:09:00Z</dcterms:modified>
</cp:coreProperties>
</file>